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R4-2408181</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4449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8</w:t>
            </w:r>
            <w:r>
              <w:rPr>
                <w:rFonts w:hint="eastAsia" w:ascii="Arial" w:hAnsi="Arial"/>
                <w:b/>
                <w:sz w:val="28"/>
                <w:lang w:val="en-US" w:eastAsia="zh-CN"/>
              </w:rPr>
              <w:t>.</w:t>
            </w:r>
            <w:r>
              <w:rPr>
                <w:rFonts w:hint="eastAsia"/>
                <w:b/>
                <w:sz w:val="28"/>
                <w:lang w:val="en-US" w:eastAsia="zh-CN"/>
              </w:rPr>
              <w:t>5</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kern w:val="2"/>
                <w:sz w:val="21"/>
                <w:szCs w:val="22"/>
              </w:rPr>
              <w:t>CR on combination of HST and RRM relaxation</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In RAN4#110bis meeting, the CR on combination of HST and RRM relaxation was endorsed(R4-2406390). This Tdoc is the re-submission of this CR for formal approval.</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rPr>
                <w:rFonts w:hint="default" w:eastAsia="宋体"/>
                <w:lang w:val="en-US" w:eastAsia="zh-CN"/>
              </w:rPr>
            </w:pPr>
            <w:r>
              <w:rPr>
                <w:rFonts w:hint="eastAsia"/>
                <w:highlight w:val="none"/>
                <w:lang w:val="en-US" w:eastAsia="zh-CN"/>
              </w:rPr>
              <w:t>Re-submission of R4-2406390 for formal approval.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w:t>
      </w:r>
      <w:r>
        <w:rPr>
          <w:rFonts w:hint="eastAsia" w:cs="v4.2.0"/>
          <w:lang w:val="en-US" w:eastAsia="zh-CN"/>
        </w:rPr>
        <w:t xml:space="preserve"> </w:t>
      </w:r>
      <w:r>
        <w:rPr>
          <w:rFonts w:cs="v4.2.0"/>
        </w:rPr>
        <w:t>table 4.2.2.3-</w:t>
      </w:r>
      <w:r>
        <w:rPr>
          <w:rFonts w:cs="v4.2.0"/>
          <w:lang w:val="en-US" w:eastAsia="zh-CN"/>
        </w:rPr>
        <w:t xml:space="preserve">4 </w:t>
      </w:r>
      <w:r>
        <w:rPr>
          <w:rFonts w:hint="eastAsia" w:cs="v4.2.0"/>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an </w:t>
      </w:r>
      <w:r>
        <w:rPr>
          <w:lang w:eastAsia="zh-CN"/>
        </w:rPr>
        <w:t>NR</w:t>
      </w:r>
      <w:r>
        <w:t xml:space="preserve"> neighbour cell for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hint="eastAsia" w:cs="v4.2.0"/>
          <w:lang w:val="en-US" w:eastAsia="zh-CN"/>
        </w:rPr>
        <w:t xml:space="preserve">or </w:t>
      </w:r>
      <w:r>
        <w:rPr>
          <w:rFonts w:cs="v4.2.0"/>
        </w:rPr>
        <w:t>table 4.2.2.3-</w:t>
      </w:r>
      <w:r>
        <w:rPr>
          <w:rFonts w:cs="v4.2.0"/>
          <w:lang w:val="en-US" w:eastAsia="zh-CN"/>
        </w:rPr>
        <w:t>5</w:t>
      </w:r>
      <w:r>
        <w:rPr>
          <w:rFonts w:hint="eastAsia" w:cs="v4.2.0"/>
          <w:lang w:val="en-US" w:eastAsia="zh-CN"/>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the T</w:t>
      </w:r>
      <w:r>
        <w:rPr>
          <w:rFonts w:cs="v4.2.0"/>
          <w:vertAlign w:val="subscript"/>
          <w:lang w:eastAsia="zh-CN"/>
        </w:rPr>
        <w:t>reselection</w:t>
      </w:r>
      <w:r>
        <w:rPr>
          <w:rFonts w:cs="v4.2.0"/>
          <w:lang w:eastAsia="zh-CN"/>
        </w:rPr>
        <w:t xml:space="preserve"> timer has a non zero value and an intra-frequency</w:t>
      </w:r>
      <w:r>
        <w:rPr>
          <w:rFonts w:cs="v3.7.0"/>
        </w:rPr>
        <w:t xml:space="preserve"> cell satisfies the reselection criteria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to this cell.</w:t>
      </w:r>
    </w:p>
    <w:p>
      <w:pPr>
        <w:rPr>
          <w:lang w:eastAsia="zh-CN"/>
        </w:rPr>
      </w:pPr>
      <w:r>
        <w:rPr>
          <w:lang w:eastAsia="zh-CN"/>
        </w:rPr>
        <w:t xml:space="preserve">For UE neither configured with </w:t>
      </w:r>
      <w:bookmarkStart w:id="2" w:name="OLE_LINK2"/>
      <w:r>
        <w:rPr>
          <w:i/>
          <w:iCs/>
          <w:lang w:eastAsia="zh-CN"/>
        </w:rPr>
        <w:t>highSpeedMeasFlag-r16</w:t>
      </w:r>
      <w:bookmarkEnd w:id="2"/>
      <w:r>
        <w:rPr>
          <w:i/>
          <w:iCs/>
          <w:lang w:eastAsia="zh-CN"/>
        </w:rPr>
        <w:t xml:space="preserve"> </w:t>
      </w:r>
      <w:r>
        <w:rPr>
          <w:lang w:eastAsia="zh-CN"/>
        </w:rPr>
        <w:t>nor</w:t>
      </w:r>
      <w:r>
        <w:rPr>
          <w:i/>
          <w:iCs/>
          <w:lang w:eastAsia="zh-CN"/>
        </w:rPr>
        <w:t xml:space="preserve"> highSpeedMeasFlagFR2-r17</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4.2.2.3-1. For UE configured with </w:t>
      </w:r>
      <w:r>
        <w:rPr>
          <w:i/>
          <w:iCs/>
          <w:lang w:eastAsia="zh-CN"/>
        </w:rPr>
        <w:t>highSpeedMeasFlag-r16</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4.2.2.3-2.</w:t>
      </w:r>
    </w:p>
    <w:p>
      <w:pPr>
        <w:rPr>
          <w:ins w:id="0" w:author="Jingjing Chen_CMCC" w:date="2024-05-13T10:26:21Z"/>
          <w:lang w:eastAsia="zh-CN"/>
        </w:rPr>
      </w:pPr>
      <w:r>
        <w:rPr>
          <w:lang w:eastAsia="zh-CN"/>
        </w:rPr>
        <w:t xml:space="preserve">For a UE configured with </w:t>
      </w:r>
      <w:r>
        <w:rPr>
          <w:i/>
          <w:iCs/>
          <w:lang w:eastAsia="zh-CN"/>
        </w:rPr>
        <w:t>highSpeedMeasFlag-r16</w:t>
      </w:r>
      <w:del w:id="1" w:author="Jingjing Chen_CMCC" w:date="2024-05-13T10:26:17Z">
        <w:r>
          <w:rPr>
            <w:lang w:eastAsia="zh-CN"/>
          </w:rPr>
          <w:delText xml:space="preserve"> or </w:delText>
        </w:r>
      </w:del>
      <w:del w:id="2" w:author="Jingjing Chen_CMCC" w:date="2024-05-13T10:26:17Z">
        <w:r>
          <w:rPr>
            <w:i/>
            <w:iCs/>
            <w:lang w:eastAsia="zh-CN"/>
          </w:rPr>
          <w:delText>highSpeedMeasFlagFR2-r17</w:delText>
        </w:r>
      </w:del>
      <w:r>
        <w:rPr>
          <w:lang w:eastAsia="zh-CN"/>
        </w:rPr>
        <w:t>, and configured with relaxed measurement criterion (lowMobilityEvaluation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pPr>
        <w:rPr>
          <w:ins w:id="3" w:author="Jingjing Chen_CMCC" w:date="2024-05-13T10:26:26Z"/>
          <w:lang w:eastAsia="zh-CN"/>
        </w:rPr>
      </w:pPr>
      <w:ins w:id="4" w:author="Jingjing Chen_CMCC" w:date="2024-05-13T10:26:34Z">
        <w:r>
          <w:rPr>
            <w:rFonts w:eastAsia="Malgun Gothic"/>
          </w:rPr>
          <w:t>-</w:t>
        </w:r>
      </w:ins>
      <w:ins w:id="5" w:author="Jingjing Chen_CMCC" w:date="2024-05-13T10:26:34Z">
        <w:r>
          <w:rPr>
            <w:rFonts w:eastAsia="Malgun Gothic"/>
          </w:rPr>
          <w:tab/>
        </w:r>
      </w:ins>
      <w:ins w:id="6" w:author="Jingjing Chen_CMCC" w:date="2024-05-13T10:26:34Z">
        <w:r>
          <w:rPr>
            <w:rFonts w:hint="eastAsia" w:cs="v4.2.0"/>
            <w:lang w:val="en-US" w:eastAsia="zh-CN"/>
          </w:rPr>
          <w:t>if</w:t>
        </w:r>
      </w:ins>
      <w:ins w:id="7" w:author="Jingjing Chen_CMCC" w:date="2024-05-13T10:26:34Z">
        <w:r>
          <w:rPr>
            <w:rFonts w:cs="v4.2.0"/>
            <w:lang w:eastAsia="zh-CN"/>
          </w:rPr>
          <w:t xml:space="preserve"> the relaxed measurement criteria in section 4.2.2.9.2 are fulfilled</w:t>
        </w:r>
      </w:ins>
      <w:ins w:id="8" w:author="Jingjing Chen_CMCC" w:date="2024-05-13T10:26:34Z">
        <w:r>
          <w:rPr>
            <w:rFonts w:hint="eastAsia" w:cs="v4.2.0"/>
            <w:lang w:val="en-US" w:eastAsia="zh-CN"/>
          </w:rPr>
          <w:t xml:space="preserve">, </w:t>
        </w:r>
      </w:ins>
      <w:r>
        <w:rPr>
          <w:lang w:eastAsia="zh-CN"/>
        </w:rPr>
        <w:t>it is up to UE implementation whether to apply the relaxed measurements requirements specified in clause 4.2.2.9.2 or high speed requirements specified in this clause</w:t>
      </w:r>
    </w:p>
    <w:p>
      <w:pPr>
        <w:numPr>
          <w:ilvl w:val="0"/>
          <w:numId w:val="0"/>
        </w:numPr>
        <w:rPr>
          <w:lang w:eastAsia="zh-CN"/>
        </w:rPr>
        <w:pPrChange w:id="9" w:author="Jingjing Chen_CMCC" w:date="2024-05-13T10:26:43Z">
          <w:pPr/>
        </w:pPrChange>
      </w:pPr>
      <w:ins w:id="10" w:author="Jingjing Chen_CMCC" w:date="2024-05-13T10:26:42Z">
        <w:r>
          <w:rPr>
            <w:rFonts w:eastAsia="Malgun Gothic"/>
          </w:rPr>
          <w:t>-</w:t>
        </w:r>
      </w:ins>
      <w:ins w:id="11" w:author="Jingjing Chen_CMCC" w:date="2024-05-13T10:26:42Z">
        <w:r>
          <w:rPr>
            <w:rFonts w:eastAsia="Malgun Gothic"/>
          </w:rPr>
          <w:tab/>
        </w:r>
      </w:ins>
      <w:ins w:id="12" w:author="Jingjing Chen_CMCC" w:date="2024-05-13T10:26:42Z">
        <w:r>
          <w:rPr>
            <w:rFonts w:hint="eastAsia" w:cs="v4.2.0"/>
            <w:lang w:val="en-US" w:eastAsia="zh-CN"/>
          </w:rPr>
          <w:t>otherwise, h</w:t>
        </w:r>
      </w:ins>
      <w:ins w:id="13" w:author="Jingjing Chen_CMCC" w:date="2024-05-13T10:26:42Z">
        <w:r>
          <w:rPr>
            <w:rFonts w:cs="v4.2.0"/>
            <w:lang w:eastAsia="zh-CN"/>
          </w:rPr>
          <w:t xml:space="preserve">igh speed requirements specified in this clause </w:t>
        </w:r>
      </w:ins>
      <w:ins w:id="14" w:author="Jingjing Chen_CMCC" w:date="2024-05-13T10:26:42Z">
        <w:r>
          <w:rPr>
            <w:rFonts w:hint="eastAsia" w:cs="v4.2.0"/>
            <w:lang w:val="en-US" w:eastAsia="zh-CN"/>
          </w:rPr>
          <w:t>shall be applied.</w:t>
        </w:r>
      </w:ins>
      <w:del w:id="15" w:author="Jingjing Chen_CMCC" w:date="2024-05-13T10:26:25Z">
        <w:r>
          <w:rPr>
            <w:lang w:eastAsia="zh-CN"/>
          </w:rPr>
          <w:delText xml:space="preserve"> provided that the relaxed measurement criteria in section 4.2.2.9.2 are fulfilled.</w:delText>
        </w:r>
      </w:del>
    </w:p>
    <w:p>
      <w:pPr>
        <w:rPr>
          <w:lang w:eastAsia="zh-CN"/>
        </w:rPr>
      </w:pPr>
      <w:r>
        <w:rPr>
          <w:lang w:eastAsia="zh-CN"/>
        </w:rPr>
        <w:t xml:space="preserve">For FR2 power class 6 UE configured with </w:t>
      </w:r>
      <w:r>
        <w:rPr>
          <w:i/>
          <w:iCs/>
        </w:rPr>
        <w:t>highSpeedMeasFlagFR2-r17</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4.2.2.3-3.</w:t>
      </w:r>
    </w:p>
    <w:p>
      <w:pPr>
        <w:rPr>
          <w:rFonts w:cs="v4.2.0"/>
          <w:lang w:eastAsia="zh-CN"/>
        </w:rPr>
      </w:pPr>
      <w:r>
        <w:rPr>
          <w:rFonts w:cs="v4.2.0"/>
          <w:lang w:eastAsia="zh-CN"/>
        </w:rPr>
        <w:t xml:space="preserve">For </w:t>
      </w:r>
      <w:r>
        <w:rPr>
          <w:rFonts w:cs="v4.2.0"/>
        </w:rPr>
        <w:t>UE</w:t>
      </w:r>
      <w:r>
        <w:rPr>
          <w:rFonts w:cs="v4.2.0"/>
          <w:lang w:eastAsia="zh-CN"/>
        </w:rPr>
        <w:t xml:space="preserv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lang w:eastAsia="zh-CN"/>
        </w:rPr>
        <w:t xml:space="preserve">are specified in Table 4.2.2.3-1, 4.2.2.3-2 and 4.2.2.3-3. </w:t>
      </w:r>
    </w:p>
    <w:p>
      <w:pPr>
        <w:overflowPunct/>
        <w:autoSpaceDE/>
        <w:autoSpaceDN/>
        <w:adjustRightInd/>
        <w:textAlignment w:val="auto"/>
        <w:rPr>
          <w:rFonts w:eastAsiaTheme="minorEastAsia"/>
          <w:lang w:eastAsia="en-US"/>
        </w:rPr>
      </w:pPr>
      <w:r>
        <w:rPr>
          <w:rFonts w:cs="v4.2.0"/>
          <w:lang w:eastAsia="zh-CN"/>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lang w:eastAsia="zh-CN"/>
        </w:rPr>
        <w:t xml:space="preserve"> are specified in Table 4.2.2.3-4 and Table 4.2.2.3-5 for FR1 and FR2 respectively, where the requirements apply provided that the serving cell is </w:t>
      </w:r>
      <w:r>
        <w:rPr>
          <w:rFonts w:cs="v4.2.0"/>
        </w:rPr>
        <w:t xml:space="preserve">configured with eDRX_IDLE and the DRX cycle length is </w:t>
      </w:r>
      <w:r>
        <w:rPr>
          <w:rFonts w:cs="v4.2.0"/>
          <w:lang w:eastAsia="zh-CN"/>
        </w:rPr>
        <w:t xml:space="preserve">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eastAsia="zh-CN"/>
        </w:rPr>
        <w:t>neither</w:t>
      </w:r>
      <w:r>
        <w:t xml:space="preserve"> supporting either </w:t>
      </w:r>
      <w:r>
        <w:rPr>
          <w:i/>
          <w:iCs/>
        </w:rPr>
        <w:t xml:space="preserve">measurementEnhancement-r16 </w:t>
      </w:r>
      <w:r>
        <w:rPr>
          <w:rFonts w:hint="eastAsia"/>
          <w:lang w:val="en-US" w:eastAsia="zh-CN"/>
        </w:rPr>
        <w:t>n</w:t>
      </w:r>
      <w:r>
        <w:t>or</w:t>
      </w:r>
      <w:r>
        <w:rPr>
          <w:i/>
          <w:iCs/>
        </w:rPr>
        <w:t xml:space="preserve"> intraNR-MeasurementEnhancement-r16</w:t>
      </w:r>
      <w:r>
        <w:t>, the UE is not required to meet the requirements specified in Table 4.2.2.3-2.</w:t>
      </w:r>
    </w:p>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557"/>
        <w:gridCol w:w="1216"/>
        <w:gridCol w:w="1222"/>
        <w:gridCol w:w="2195"/>
        <w:gridCol w:w="1943"/>
        <w:gridCol w:w="1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3225" w:type="dxa"/>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2319" w:type="dxa"/>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1633" w:type="dxa"/>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1696" w:type="dxa"/>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1310"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1358"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lang w:eastAsia="zh-CN"/>
              </w:rPr>
              <w:t>F</w:t>
            </w:r>
            <w:r>
              <w:rPr>
                <w:lang w:eastAsia="zh-CN"/>
              </w:rPr>
              <w:t>R2-2</w:t>
            </w:r>
            <w:r>
              <w:rPr>
                <w:vertAlign w:val="superscript"/>
              </w:rPr>
              <w:t xml:space="preserve"> Note2</w:t>
            </w:r>
          </w:p>
        </w:tc>
        <w:tc>
          <w:tcPr>
            <w:tcW w:w="2319" w:type="dxa"/>
            <w:tcBorders>
              <w:top w:val="nil"/>
              <w:left w:val="single" w:color="auto" w:sz="4" w:space="0"/>
              <w:bottom w:val="single" w:color="auto" w:sz="4" w:space="0"/>
              <w:right w:val="single" w:color="auto" w:sz="4" w:space="0"/>
            </w:tcBorders>
            <w:vAlign w:val="center"/>
          </w:tcPr>
          <w:p>
            <w:pPr>
              <w:pStyle w:val="51"/>
            </w:pPr>
          </w:p>
        </w:tc>
        <w:tc>
          <w:tcPr>
            <w:tcW w:w="1633" w:type="dxa"/>
            <w:tcBorders>
              <w:top w:val="nil"/>
              <w:left w:val="single" w:color="auto" w:sz="4" w:space="0"/>
              <w:bottom w:val="single" w:color="auto" w:sz="4" w:space="0"/>
              <w:right w:val="single" w:color="auto" w:sz="4" w:space="0"/>
            </w:tcBorders>
            <w:vAlign w:val="center"/>
          </w:tcPr>
          <w:p>
            <w:pPr>
              <w:pStyle w:val="51"/>
            </w:pPr>
          </w:p>
        </w:tc>
        <w:tc>
          <w:tcPr>
            <w:tcW w:w="1696" w:type="dxa"/>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1310" w:type="dxa"/>
            <w:tcBorders>
              <w:top w:val="single" w:color="auto" w:sz="4" w:space="0"/>
              <w:left w:val="single" w:color="auto" w:sz="4" w:space="0"/>
              <w:bottom w:val="single" w:color="auto" w:sz="4" w:space="0"/>
              <w:right w:val="single" w:color="auto" w:sz="4" w:space="0"/>
            </w:tcBorders>
          </w:tcPr>
          <w:p>
            <w:pPr>
              <w:pStyle w:val="52"/>
            </w:pPr>
            <w:r>
              <w:t>8</w:t>
            </w:r>
          </w:p>
        </w:tc>
        <w:tc>
          <w:tcPr>
            <w:tcW w:w="1358"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1</w:t>
            </w:r>
            <w:r>
              <w:rPr>
                <w:rFonts w:cs="Arial"/>
                <w:szCs w:val="18"/>
                <w:lang w:eastAsia="zh-CN"/>
              </w:rPr>
              <w:t>2</w:t>
            </w:r>
          </w:p>
        </w:tc>
        <w:tc>
          <w:tcPr>
            <w:tcW w:w="2319" w:type="dxa"/>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1633" w:type="dxa"/>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696" w:type="dxa"/>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1310" w:type="dxa"/>
            <w:tcBorders>
              <w:top w:val="single" w:color="auto" w:sz="4" w:space="0"/>
              <w:left w:val="single" w:color="auto" w:sz="4" w:space="0"/>
              <w:bottom w:val="single" w:color="auto" w:sz="4" w:space="0"/>
              <w:right w:val="single" w:color="auto" w:sz="4" w:space="0"/>
            </w:tcBorders>
          </w:tcPr>
          <w:p>
            <w:pPr>
              <w:pStyle w:val="52"/>
            </w:pPr>
            <w:r>
              <w:t>5</w:t>
            </w:r>
          </w:p>
        </w:tc>
        <w:tc>
          <w:tcPr>
            <w:tcW w:w="1358"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8</w:t>
            </w:r>
          </w:p>
        </w:tc>
        <w:tc>
          <w:tcPr>
            <w:tcW w:w="2319" w:type="dxa"/>
            <w:tcBorders>
              <w:top w:val="single" w:color="auto" w:sz="4" w:space="0"/>
              <w:left w:val="single" w:color="auto" w:sz="4" w:space="0"/>
              <w:bottom w:val="single" w:color="auto" w:sz="4" w:space="0"/>
              <w:right w:val="single" w:color="auto" w:sz="4" w:space="0"/>
            </w:tcBorders>
          </w:tcPr>
          <w:p>
            <w:pPr>
              <w:pStyle w:val="52"/>
            </w:pPr>
            <w:r>
              <w:t>17.92 x N1 (28 x N1)</w:t>
            </w:r>
          </w:p>
        </w:tc>
        <w:tc>
          <w:tcPr>
            <w:tcW w:w="1633" w:type="dxa"/>
            <w:tcBorders>
              <w:top w:val="single" w:color="auto" w:sz="4" w:space="0"/>
              <w:left w:val="single" w:color="auto" w:sz="4" w:space="0"/>
              <w:bottom w:val="single" w:color="auto" w:sz="4" w:space="0"/>
              <w:right w:val="single" w:color="auto" w:sz="4" w:space="0"/>
            </w:tcBorders>
          </w:tcPr>
          <w:p>
            <w:pPr>
              <w:pStyle w:val="52"/>
            </w:pPr>
            <w:r>
              <w:t>1.28 x N1 (2 x N1)</w:t>
            </w:r>
          </w:p>
        </w:tc>
        <w:tc>
          <w:tcPr>
            <w:tcW w:w="1696" w:type="dxa"/>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1310" w:type="dxa"/>
            <w:tcBorders>
              <w:top w:val="single" w:color="auto" w:sz="4" w:space="0"/>
              <w:left w:val="single" w:color="auto" w:sz="4" w:space="0"/>
              <w:bottom w:val="single" w:color="auto" w:sz="4" w:space="0"/>
              <w:right w:val="single" w:color="auto" w:sz="4" w:space="0"/>
            </w:tcBorders>
          </w:tcPr>
          <w:p>
            <w:pPr>
              <w:pStyle w:val="52"/>
            </w:pPr>
            <w:r>
              <w:t>4</w:t>
            </w:r>
          </w:p>
        </w:tc>
        <w:tc>
          <w:tcPr>
            <w:tcW w:w="1358"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6</w:t>
            </w:r>
          </w:p>
        </w:tc>
        <w:tc>
          <w:tcPr>
            <w:tcW w:w="2319" w:type="dxa"/>
            <w:tcBorders>
              <w:top w:val="single" w:color="auto" w:sz="4" w:space="0"/>
              <w:left w:val="single" w:color="auto" w:sz="4" w:space="0"/>
              <w:bottom w:val="single" w:color="auto" w:sz="4" w:space="0"/>
              <w:right w:val="single" w:color="auto" w:sz="4" w:space="0"/>
            </w:tcBorders>
          </w:tcPr>
          <w:p>
            <w:pPr>
              <w:pStyle w:val="52"/>
            </w:pPr>
            <w:r>
              <w:t>32 x N1 (25 x N1)</w:t>
            </w:r>
          </w:p>
        </w:tc>
        <w:tc>
          <w:tcPr>
            <w:tcW w:w="1633" w:type="dxa"/>
            <w:tcBorders>
              <w:top w:val="single" w:color="auto" w:sz="4" w:space="0"/>
              <w:left w:val="single" w:color="auto" w:sz="4" w:space="0"/>
              <w:bottom w:val="single" w:color="auto" w:sz="4" w:space="0"/>
              <w:right w:val="single" w:color="auto" w:sz="4" w:space="0"/>
            </w:tcBorders>
          </w:tcPr>
          <w:p>
            <w:pPr>
              <w:pStyle w:val="52"/>
            </w:pPr>
            <w:r>
              <w:t>1.28 x N1 (1 x N1)</w:t>
            </w:r>
          </w:p>
        </w:tc>
        <w:tc>
          <w:tcPr>
            <w:tcW w:w="1696" w:type="dxa"/>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131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135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hint="eastAsia" w:cs="Arial"/>
                <w:szCs w:val="18"/>
                <w:lang w:eastAsia="zh-CN"/>
              </w:rPr>
              <w:t>5</w:t>
            </w:r>
          </w:p>
        </w:tc>
        <w:tc>
          <w:tcPr>
            <w:tcW w:w="2319"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1633" w:type="dxa"/>
            <w:tcBorders>
              <w:top w:val="single" w:color="auto" w:sz="4" w:space="0"/>
              <w:left w:val="single" w:color="auto" w:sz="4" w:space="0"/>
              <w:bottom w:val="single" w:color="auto" w:sz="4" w:space="0"/>
              <w:right w:val="single" w:color="auto" w:sz="4" w:space="0"/>
            </w:tcBorders>
          </w:tcPr>
          <w:p>
            <w:pPr>
              <w:pStyle w:val="52"/>
            </w:pPr>
            <w:r>
              <w:t>2.56 x N1 (1 x N1)</w:t>
            </w:r>
          </w:p>
        </w:tc>
        <w:tc>
          <w:tcPr>
            <w:tcW w:w="1696" w:type="dxa"/>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pPr>
              <w:pStyle w:val="6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eastAsia="等线"/>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5"/>
        <w:rPr>
          <w:lang w:val="en-US" w:eastAsia="zh-CN"/>
        </w:rPr>
      </w:pPr>
      <w:r>
        <w:t>Table 4.2.2.3-</w:t>
      </w:r>
      <w:r>
        <w:rPr>
          <w:lang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rPr>
          <w:lang w:eastAsia="zh-CN"/>
        </w:rP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lang w:val="en-US" w:eastAsia="zh-CN"/>
              </w:rPr>
            </w:pPr>
            <w:r>
              <w:rPr>
                <w:lang w:eastAsia="zh-CN"/>
              </w:rPr>
              <w:t>Note 2:</w:t>
            </w:r>
            <w:r>
              <w:rPr>
                <w:lang w:val="en-US"/>
              </w:rPr>
              <w:tab/>
            </w:r>
            <w:r>
              <w:rPr>
                <w:rFonts w:hint="eastAsia"/>
                <w:lang w:val="en-US" w:eastAsia="zh-CN"/>
              </w:rPr>
              <w:t xml:space="preserve">N2 = 2 when </w:t>
            </w:r>
            <w:r>
              <w:rPr>
                <w:rFonts w:hint="eastAsia"/>
                <w:i/>
                <w:iCs/>
                <w:lang w:val="en-US" w:eastAsia="zh-CN"/>
              </w:rPr>
              <w:t>highSpeedMeasFlagFR2-r17</w:t>
            </w:r>
            <w:r>
              <w:rPr>
                <w:rFonts w:hint="eastAsia"/>
                <w:lang w:val="en-US" w:eastAsia="zh-CN"/>
              </w:rPr>
              <w:t xml:space="preserve"> = set1; N2 = 6 when </w:t>
            </w:r>
            <w:r>
              <w:rPr>
                <w:rFonts w:hint="eastAsia"/>
                <w:i/>
                <w:iCs/>
                <w:lang w:val="en-US" w:eastAsia="zh-CN"/>
              </w:rPr>
              <w:t>highSpeedMeasFlagFR2-r17</w:t>
            </w:r>
            <w:r>
              <w:rPr>
                <w:rFonts w:hint="eastAsia"/>
                <w:lang w:val="en-US" w:eastAsia="zh-CN"/>
              </w:rPr>
              <w:t xml:space="preserve">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eastAsia="zh-CN"/>
              </w:rPr>
            </w:pPr>
            <w:r>
              <w:rPr>
                <w:lang w:eastAsia="zh-CN"/>
              </w:rPr>
              <w:t>eDRX_IDLE cycle length [s]</w:t>
            </w:r>
          </w:p>
        </w:tc>
        <w:tc>
          <w:tcPr>
            <w:tcW w:w="756" w:type="dxa"/>
          </w:tcPr>
          <w:p>
            <w:pPr>
              <w:pStyle w:val="51"/>
              <w:rPr>
                <w:lang w:val="en-US" w:eastAsia="zh-CN"/>
              </w:rPr>
            </w:pPr>
            <w:r>
              <w:rPr>
                <w:lang w:eastAsia="zh-CN"/>
              </w:rPr>
              <w:t>DRX cycle length [s]</w:t>
            </w:r>
          </w:p>
        </w:tc>
        <w:tc>
          <w:tcPr>
            <w:tcW w:w="936" w:type="dxa"/>
          </w:tcPr>
          <w:p>
            <w:pPr>
              <w:pStyle w:val="51"/>
              <w:rPr>
                <w:lang w:val="en-US" w:eastAsia="zh-CN"/>
              </w:rPr>
            </w:pPr>
            <w:r>
              <w:rPr>
                <w:lang w:eastAsia="zh-CN"/>
              </w:rPr>
              <w:t>PTW length [s] (number of 1.28s periods)</w:t>
            </w:r>
          </w:p>
        </w:tc>
        <w:tc>
          <w:tcPr>
            <w:tcW w:w="2450" w:type="dxa"/>
          </w:tcPr>
          <w:p>
            <w:pPr>
              <w:pStyle w:val="51"/>
              <w:rPr>
                <w:szCs w:val="18"/>
                <w:lang w:val="en-US" w:eastAsia="zh-CN"/>
              </w:rPr>
            </w:pPr>
            <w:r>
              <w:rPr>
                <w:szCs w:val="18"/>
                <w:lang w:val="en-US"/>
              </w:rPr>
              <w:t>T</w:t>
            </w:r>
            <w:r>
              <w:rPr>
                <w:szCs w:val="18"/>
                <w:vertAlign w:val="subscript"/>
                <w:lang w:val="en-US"/>
              </w:rPr>
              <w:t>detect,NR_Intra</w:t>
            </w:r>
            <w:r>
              <w:rPr>
                <w:szCs w:val="18"/>
                <w:lang w:eastAsia="zh-CN"/>
              </w:rPr>
              <w:t xml:space="preserve"> [s] (number of DRX cycles or eDRX cycles </w:t>
            </w:r>
            <w:r>
              <w:rPr>
                <w:szCs w:val="18"/>
                <w:vertAlign w:val="superscript"/>
                <w:lang w:eastAsia="zh-CN"/>
              </w:rPr>
              <w:t>Note 3</w:t>
            </w:r>
            <w:r>
              <w:rPr>
                <w:szCs w:val="18"/>
                <w:lang w:eastAsia="zh-CN"/>
              </w:rPr>
              <w:t>)</w:t>
            </w:r>
          </w:p>
        </w:tc>
        <w:tc>
          <w:tcPr>
            <w:tcW w:w="1874" w:type="dxa"/>
          </w:tcPr>
          <w:p>
            <w:pPr>
              <w:pStyle w:val="51"/>
              <w:rPr>
                <w:szCs w:val="18"/>
                <w:lang w:val="en-US" w:eastAsia="zh-CN"/>
              </w:rPr>
            </w:pPr>
            <w:r>
              <w:rPr>
                <w:szCs w:val="18"/>
                <w:lang w:val="en-US"/>
              </w:rPr>
              <w:t>T</w:t>
            </w:r>
            <w:r>
              <w:rPr>
                <w:szCs w:val="18"/>
                <w:vertAlign w:val="subscript"/>
                <w:lang w:val="en-US"/>
              </w:rPr>
              <w:t>measure,NR_Intra</w:t>
            </w:r>
            <w:r>
              <w:rPr>
                <w:szCs w:val="18"/>
                <w:lang w:val="en-US"/>
              </w:rPr>
              <w:t xml:space="preserve"> </w:t>
            </w:r>
            <w:r>
              <w:rPr>
                <w:szCs w:val="18"/>
                <w:lang w:eastAsia="zh-CN"/>
              </w:rPr>
              <w:t xml:space="preserve">[s] (number of DRX cycles or eDRX cycles </w:t>
            </w:r>
            <w:r>
              <w:rPr>
                <w:szCs w:val="18"/>
                <w:vertAlign w:val="superscript"/>
                <w:lang w:eastAsia="zh-CN"/>
              </w:rPr>
              <w:t>Note 3</w:t>
            </w:r>
            <w:r>
              <w:rPr>
                <w:szCs w:val="18"/>
                <w:lang w:eastAsia="zh-CN"/>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lang w:eastAsia="zh-CN"/>
              </w:rPr>
              <w:t xml:space="preserve">[s] (number of DRX cycles or eDRX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val="en-US" w:eastAsia="zh-CN"/>
              </w:rPr>
              <w:t>2.56</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val="en-US" w:eastAsia="zh-CN"/>
              </w:rPr>
              <w:t>-</w:t>
            </w:r>
          </w:p>
        </w:tc>
        <w:tc>
          <w:tcPr>
            <w:tcW w:w="2450" w:type="dxa"/>
          </w:tcPr>
          <w:p>
            <w:pPr>
              <w:pStyle w:val="52"/>
              <w:rPr>
                <w:lang w:eastAsia="zh-CN"/>
              </w:rPr>
            </w:pPr>
            <w:r>
              <w:rPr>
                <w:lang w:eastAsia="zh-CN"/>
              </w:rPr>
              <w:t>58.88 (23)</w:t>
            </w:r>
          </w:p>
        </w:tc>
        <w:tc>
          <w:tcPr>
            <w:tcW w:w="1874" w:type="dxa"/>
          </w:tcPr>
          <w:p>
            <w:pPr>
              <w:pStyle w:val="52"/>
              <w:rPr>
                <w:lang w:eastAsia="zh-CN"/>
              </w:rPr>
            </w:pPr>
            <w:r>
              <w:rPr>
                <w:lang w:eastAsia="zh-CN"/>
              </w:rPr>
              <w:t>2.56 (1)</w:t>
            </w:r>
          </w:p>
        </w:tc>
        <w:tc>
          <w:tcPr>
            <w:tcW w:w="1860" w:type="dxa"/>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eastAsia="zh-CN"/>
              </w:rPr>
            </w:pPr>
            <w:r>
              <w:rPr>
                <w:lang w:eastAsia="zh-CN"/>
              </w:rPr>
              <w:t>5.12</w:t>
            </w:r>
          </w:p>
        </w:tc>
        <w:tc>
          <w:tcPr>
            <w:tcW w:w="756" w:type="dxa"/>
          </w:tcPr>
          <w:p>
            <w:pPr>
              <w:pStyle w:val="52"/>
              <w:rPr>
                <w:lang w:val="en-US" w:eastAsia="zh-CN"/>
              </w:rPr>
            </w:pPr>
            <w:r>
              <w:rPr>
                <w:lang w:val="en-US" w:eastAsia="zh-CN"/>
              </w:rPr>
              <w:t>-</w:t>
            </w:r>
          </w:p>
        </w:tc>
        <w:tc>
          <w:tcPr>
            <w:tcW w:w="936" w:type="dxa"/>
          </w:tcPr>
          <w:p>
            <w:pPr>
              <w:pStyle w:val="52"/>
              <w:rPr>
                <w:lang w:eastAsia="zh-CN"/>
              </w:rPr>
            </w:pPr>
            <w:r>
              <w:rPr>
                <w:lang w:eastAsia="zh-CN"/>
              </w:rPr>
              <w:t>-</w:t>
            </w:r>
          </w:p>
        </w:tc>
        <w:tc>
          <w:tcPr>
            <w:tcW w:w="2450" w:type="dxa"/>
          </w:tcPr>
          <w:p>
            <w:pPr>
              <w:pStyle w:val="52"/>
              <w:rPr>
                <w:lang w:eastAsia="zh-CN"/>
              </w:rPr>
            </w:pPr>
            <w:r>
              <w:rPr>
                <w:lang w:eastAsia="zh-CN"/>
              </w:rPr>
              <w:t>117.76 (23)</w:t>
            </w:r>
          </w:p>
        </w:tc>
        <w:tc>
          <w:tcPr>
            <w:tcW w:w="1874" w:type="dxa"/>
          </w:tcPr>
          <w:p>
            <w:pPr>
              <w:pStyle w:val="52"/>
              <w:rPr>
                <w:lang w:eastAsia="zh-CN"/>
              </w:rPr>
            </w:pPr>
            <w:r>
              <w:rPr>
                <w:lang w:eastAsia="zh-CN"/>
              </w:rPr>
              <w:t>5.12 (1)</w:t>
            </w:r>
          </w:p>
        </w:tc>
        <w:tc>
          <w:tcPr>
            <w:tcW w:w="1860" w:type="dxa"/>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eastAsia="zh-CN"/>
              </w:rPr>
              <w:t>10.24</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eastAsia="zh-CN"/>
              </w:rPr>
              <w:t>-</w:t>
            </w:r>
          </w:p>
        </w:tc>
        <w:tc>
          <w:tcPr>
            <w:tcW w:w="2450" w:type="dxa"/>
          </w:tcPr>
          <w:p>
            <w:pPr>
              <w:pStyle w:val="52"/>
              <w:rPr>
                <w:lang w:val="en-US" w:eastAsia="zh-CN"/>
              </w:rPr>
            </w:pPr>
            <w:r>
              <w:rPr>
                <w:lang w:eastAsia="zh-CN"/>
              </w:rPr>
              <w:t>235.52 (23)</w:t>
            </w:r>
          </w:p>
        </w:tc>
        <w:tc>
          <w:tcPr>
            <w:tcW w:w="1874" w:type="dxa"/>
          </w:tcPr>
          <w:p>
            <w:pPr>
              <w:pStyle w:val="52"/>
              <w:rPr>
                <w:lang w:val="en-US" w:eastAsia="zh-CN"/>
              </w:rPr>
            </w:pPr>
            <w:r>
              <w:rPr>
                <w:lang w:eastAsia="zh-CN"/>
              </w:rPr>
              <w:t>10.24 (1)</w:t>
            </w:r>
          </w:p>
        </w:tc>
        <w:tc>
          <w:tcPr>
            <w:tcW w:w="1860" w:type="dxa"/>
          </w:tcPr>
          <w:p>
            <w:pPr>
              <w:pStyle w:val="52"/>
              <w:rPr>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756" w:type="dxa"/>
          </w:tcPr>
          <w:p>
            <w:pPr>
              <w:pStyle w:val="52"/>
              <w:rPr>
                <w:lang w:val="en-US" w:eastAsia="zh-CN"/>
              </w:rPr>
            </w:pPr>
            <w:r>
              <w:rPr>
                <w:lang w:eastAsia="zh-CN"/>
              </w:rPr>
              <w:t>0.32</w:t>
            </w:r>
          </w:p>
        </w:tc>
        <w:tc>
          <w:tcPr>
            <w:tcW w:w="936" w:type="dxa"/>
          </w:tcPr>
          <w:p>
            <w:pPr>
              <w:pStyle w:val="52"/>
              <w:rPr>
                <w:lang w:val="en-US" w:eastAsia="zh-CN"/>
              </w:rPr>
            </w:pPr>
            <w:r>
              <w:rPr>
                <w:lang w:eastAsia="zh-CN"/>
              </w:rPr>
              <w:t>≥1.28 (1)</w:t>
            </w:r>
          </w:p>
        </w:tc>
        <w:tc>
          <w:tcPr>
            <w:tcW w:w="2450" w:type="dxa"/>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1874" w:type="dxa"/>
          </w:tcPr>
          <w:p>
            <w:pPr>
              <w:pStyle w:val="52"/>
              <w:rPr>
                <w:lang w:val="en-US" w:eastAsia="zh-CN"/>
              </w:rPr>
            </w:pPr>
            <w:r>
              <w:rPr>
                <w:lang w:eastAsia="zh-CN"/>
              </w:rPr>
              <w:t>0.32</w:t>
            </w:r>
            <w:r>
              <w:t xml:space="preserve"> x M2</w:t>
            </w:r>
            <w:r>
              <w:rPr>
                <w:lang w:eastAsia="zh-CN"/>
              </w:rPr>
              <w:t xml:space="preserve"> (1</w:t>
            </w:r>
            <w:r>
              <w:t xml:space="preserve"> x M2</w:t>
            </w:r>
            <w:r>
              <w:rPr>
                <w:lang w:eastAsia="zh-CN"/>
              </w:rPr>
              <w:t>)</w:t>
            </w:r>
          </w:p>
        </w:tc>
        <w:tc>
          <w:tcPr>
            <w:tcW w:w="1860" w:type="dxa"/>
          </w:tcPr>
          <w:p>
            <w:pPr>
              <w:pStyle w:val="52"/>
              <w:rPr>
                <w:lang w:eastAsia="zh-CN"/>
              </w:rPr>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0.64</w:t>
            </w:r>
          </w:p>
        </w:tc>
        <w:tc>
          <w:tcPr>
            <w:tcW w:w="936" w:type="dxa"/>
          </w:tcPr>
          <w:p>
            <w:pPr>
              <w:pStyle w:val="52"/>
              <w:rPr>
                <w:lang w:val="en-US" w:eastAsia="zh-CN"/>
              </w:rPr>
            </w:pPr>
            <w:r>
              <w:rPr>
                <w:lang w:eastAsia="zh-CN"/>
              </w:rPr>
              <w:t>≥1.28 (1)</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0.64 (1)</w:t>
            </w:r>
          </w:p>
        </w:tc>
        <w:tc>
          <w:tcPr>
            <w:tcW w:w="1860" w:type="dxa"/>
          </w:tcPr>
          <w:p>
            <w:pPr>
              <w:pStyle w:val="52"/>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1.28</w:t>
            </w:r>
          </w:p>
        </w:tc>
        <w:tc>
          <w:tcPr>
            <w:tcW w:w="936" w:type="dxa"/>
          </w:tcPr>
          <w:p>
            <w:pPr>
              <w:pStyle w:val="52"/>
              <w:rPr>
                <w:lang w:val="en-US" w:eastAsia="zh-CN"/>
              </w:rPr>
            </w:pPr>
            <w:r>
              <w:rPr>
                <w:lang w:eastAsia="zh-CN"/>
              </w:rPr>
              <w:t>≥2.56 (2)</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1.28 (1)</w:t>
            </w:r>
          </w:p>
        </w:tc>
        <w:tc>
          <w:tcPr>
            <w:tcW w:w="1860" w:type="dxa"/>
          </w:tcPr>
          <w:p>
            <w:pPr>
              <w:pStyle w:val="52"/>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tcBorders>
          </w:tcPr>
          <w:p>
            <w:pPr>
              <w:pStyle w:val="52"/>
              <w:rPr>
                <w:lang w:val="en-US" w:eastAsia="zh-CN"/>
              </w:rPr>
            </w:pPr>
          </w:p>
        </w:tc>
        <w:tc>
          <w:tcPr>
            <w:tcW w:w="756" w:type="dxa"/>
          </w:tcPr>
          <w:p>
            <w:pPr>
              <w:pStyle w:val="52"/>
              <w:rPr>
                <w:lang w:val="en-US" w:eastAsia="zh-CN"/>
              </w:rPr>
            </w:pPr>
            <w:r>
              <w:rPr>
                <w:lang w:eastAsia="zh-CN"/>
              </w:rPr>
              <w:t>2.56</w:t>
            </w:r>
          </w:p>
        </w:tc>
        <w:tc>
          <w:tcPr>
            <w:tcW w:w="936" w:type="dxa"/>
          </w:tcPr>
          <w:p>
            <w:pPr>
              <w:pStyle w:val="52"/>
              <w:rPr>
                <w:lang w:val="en-US" w:eastAsia="zh-CN"/>
              </w:rPr>
            </w:pPr>
            <w:r>
              <w:rPr>
                <w:lang w:eastAsia="zh-CN"/>
              </w:rPr>
              <w:t>≥5.12 (4)</w:t>
            </w:r>
          </w:p>
        </w:tc>
        <w:tc>
          <w:tcPr>
            <w:tcW w:w="2450" w:type="dxa"/>
            <w:tcBorders>
              <w:top w:val="nil"/>
            </w:tcBorders>
          </w:tcPr>
          <w:p>
            <w:pPr>
              <w:pStyle w:val="52"/>
              <w:rPr>
                <w:lang w:val="en-US" w:eastAsia="zh-CN"/>
              </w:rPr>
            </w:pPr>
          </w:p>
        </w:tc>
        <w:tc>
          <w:tcPr>
            <w:tcW w:w="1874" w:type="dxa"/>
          </w:tcPr>
          <w:p>
            <w:pPr>
              <w:pStyle w:val="52"/>
              <w:rPr>
                <w:lang w:val="en-US" w:eastAsia="zh-CN"/>
              </w:rPr>
            </w:pPr>
            <w:r>
              <w:rPr>
                <w:lang w:eastAsia="zh-CN"/>
              </w:rPr>
              <w:t>2.56 (1)</w:t>
            </w:r>
          </w:p>
        </w:tc>
        <w:tc>
          <w:tcPr>
            <w:tcW w:w="1860" w:type="dxa"/>
          </w:tcPr>
          <w:p>
            <w:pPr>
              <w:pStyle w:val="52"/>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pStyle w:val="66"/>
              <w:rPr>
                <w:snapToGrid w:val="0"/>
                <w:lang w:eastAsia="zh-CN"/>
              </w:rPr>
            </w:pPr>
            <w:r>
              <w:rPr>
                <w:snapToGrid w:val="0"/>
                <w:lang w:eastAsia="zh-CN"/>
              </w:rPr>
              <w:t>Note 1</w:t>
            </w:r>
            <w:r>
              <w:t>:</w:t>
            </w:r>
            <w:r>
              <w:rPr>
                <w:lang w:val="en-US"/>
              </w:rPr>
              <w:tab/>
            </w:r>
            <w:r>
              <w:rPr>
                <w:snapToGrid w:val="0"/>
                <w:lang w:eastAsia="zh-CN"/>
              </w:rPr>
              <w:t>The number of DRX cycles in this table corresponds to the DRX cycles within PTWs</w:t>
            </w:r>
            <w:r>
              <w:t>, when PTW is configured</w:t>
            </w:r>
            <w:r>
              <w:rPr>
                <w:snapToGrid w:val="0"/>
                <w:lang w:eastAsia="zh-CN"/>
              </w:rPr>
              <w:t>.</w:t>
            </w:r>
          </w:p>
          <w:p>
            <w:pPr>
              <w:pStyle w:val="66"/>
              <w:rPr>
                <w:snapToGrid w:val="0"/>
                <w:lang w:eastAsia="zh-CN"/>
              </w:rPr>
            </w:pPr>
            <w:r>
              <w:rPr>
                <w:snapToGrid w:val="0"/>
                <w:lang w:eastAsia="zh-CN"/>
              </w:rPr>
              <w:t>Note 2</w:t>
            </w:r>
            <w:r>
              <w:t>:</w:t>
            </w:r>
            <w:r>
              <w:rPr>
                <w:lang w:val="en-US"/>
              </w:rPr>
              <w:tab/>
            </w:r>
            <w:r>
              <w:rPr>
                <w:snapToGrid w:val="0"/>
                <w:lang w:eastAsia="zh-CN"/>
              </w:rPr>
              <w:t>The eDRX_IDLE cycle lengths are as specified in Section 10.5.5.32 of TS 24.008 [34].</w:t>
            </w:r>
          </w:p>
          <w:p>
            <w:pPr>
              <w:pStyle w:val="66"/>
              <w:rPr>
                <w:snapToGrid w:val="0"/>
                <w:lang w:eastAsia="zh-CN"/>
              </w:rPr>
            </w:pPr>
            <w:r>
              <w:rPr>
                <w:snapToGrid w:val="0"/>
                <w:lang w:eastAsia="zh-CN"/>
              </w:rPr>
              <w:t>Note 3</w:t>
            </w:r>
            <w:r>
              <w:t>:</w:t>
            </w:r>
            <w:r>
              <w:rPr>
                <w:lang w:val="en-US"/>
              </w:rPr>
              <w:tab/>
            </w:r>
            <w:r>
              <w:rPr>
                <w:snapToGrid w:val="0"/>
                <w:lang w:eastAsia="zh-CN"/>
              </w:rPr>
              <w:t>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Note</w:t>
            </w:r>
            <w:r>
              <w:rPr>
                <w:rFonts w:cs="Arial"/>
              </w:rPr>
              <w:t xml:space="preserve"> 4:</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snapToGrid w:val="0"/>
                <w:lang w:eastAsia="zh-CN"/>
              </w:rPr>
            </w:pPr>
            <w:r>
              <w:rPr>
                <w:snapToGrid w:val="0"/>
                <w:lang w:eastAsia="zh-CN"/>
              </w:rPr>
              <w:t>Note 5:</w:t>
            </w:r>
            <w:r>
              <w:rPr>
                <w:lang w:val="en-US"/>
              </w:rPr>
              <w:tab/>
            </w:r>
            <w:r>
              <w:rPr>
                <w:snapToGrid w:val="0"/>
                <w:lang w:eastAsia="zh-CN"/>
              </w:rPr>
              <w:t>M2 = 2 if SMTC periodicity</w:t>
            </w:r>
            <w:r>
              <w:t xml:space="preserve"> </w:t>
            </w:r>
            <w:r>
              <w:rPr>
                <w:snapToGrid w:val="0"/>
                <w:lang w:eastAsia="zh-CN"/>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283" w:type="pct"/>
          </w:tcPr>
          <w:p>
            <w:pPr>
              <w:pStyle w:val="51"/>
              <w:rPr>
                <w:lang w:val="en-US" w:eastAsia="zh-CN"/>
              </w:rPr>
            </w:pPr>
            <w:r>
              <w:rPr>
                <w:bCs/>
                <w:szCs w:val="18"/>
                <w:lang w:val="en-US"/>
              </w:rPr>
              <w:t>T</w:t>
            </w:r>
            <w:r>
              <w:rPr>
                <w:bCs/>
                <w:szCs w:val="18"/>
                <w:vertAlign w:val="subscript"/>
                <w:lang w:val="en-US"/>
              </w:rPr>
              <w:t>detect,NR_Intra</w:t>
            </w:r>
            <w:r>
              <w:rPr>
                <w:szCs w:val="18"/>
                <w:lang w:eastAsia="zh-CN"/>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09" w:type="pct"/>
          </w:tcPr>
          <w:p>
            <w:pPr>
              <w:pStyle w:val="51"/>
              <w:rPr>
                <w:lang w:val="en-US" w:eastAsia="zh-CN"/>
              </w:rPr>
            </w:pPr>
            <w:r>
              <w:rPr>
                <w:bCs/>
                <w:szCs w:val="18"/>
                <w:lang w:val="en-US"/>
              </w:rPr>
              <w:t>T</w:t>
            </w:r>
            <w:r>
              <w:rPr>
                <w:bCs/>
                <w:szCs w:val="18"/>
                <w:vertAlign w:val="subscript"/>
                <w:lang w:val="en-US"/>
              </w:rPr>
              <w:t>measure,NR_Intra</w:t>
            </w:r>
            <w:r>
              <w:rPr>
                <w:bCs/>
                <w:szCs w:val="18"/>
                <w:lang w:val="en-US"/>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58" w:type="pct"/>
          </w:tcPr>
          <w:p>
            <w:pPr>
              <w:pStyle w:val="51"/>
              <w:rPr>
                <w:lang w:val="en-US" w:eastAsia="zh-CN"/>
              </w:rPr>
            </w:pPr>
            <w:r>
              <w:rPr>
                <w:bCs/>
                <w:szCs w:val="18"/>
                <w:lang w:val="en-US"/>
              </w:rPr>
              <w:t>T</w:t>
            </w:r>
            <w:r>
              <w:rPr>
                <w:bCs/>
                <w:szCs w:val="18"/>
                <w:vertAlign w:val="subscript"/>
                <w:lang w:val="en-US"/>
              </w:rPr>
              <w:t xml:space="preserve">evaluate,NR_Intra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w:t>
            </w:r>
            <w:r>
              <w:rPr>
                <w:rFonts w:hint="eastAsia"/>
                <w:lang w:eastAsia="zh-CN"/>
              </w:rPr>
              <w:t xml:space="preserve"> cycle length ≤10485.</w:t>
            </w:r>
            <w:r>
              <w:rPr>
                <w:lang w:eastAsia="zh-CN"/>
              </w:rPr>
              <w:t>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lang w:eastAsia="zh-CN"/>
              </w:rPr>
              <w:t>NOTE 1</w:t>
            </w:r>
            <w:r>
              <w:t xml:space="preserve">: </w:t>
            </w:r>
            <w:r>
              <w:rPr>
                <w:lang w:eastAsia="zh-CN"/>
              </w:rPr>
              <w:t>Applies for UE supporting FR2-1 power class 2&amp;3&amp;4. For UE supporting FR2-1 power class 1 or 5, N1 = 8 for all DRX cycle length</w:t>
            </w:r>
            <w:r>
              <w:t>.</w:t>
            </w:r>
          </w:p>
          <w:p>
            <w:pPr>
              <w:pStyle w:val="66"/>
              <w:rPr>
                <w:snapToGrid w:val="0"/>
                <w:lang w:eastAsia="zh-CN"/>
              </w:rPr>
            </w:pPr>
            <w:r>
              <w:rPr>
                <w:snapToGrid w:val="0"/>
                <w:lang w:eastAsia="zh-CN"/>
              </w:rPr>
              <w:t>NOTE 2: The number of DRX cycles in this table corresponds to the DRX cycles within PTWs</w:t>
            </w:r>
            <w:r>
              <w:t>, when PTW is configured</w:t>
            </w:r>
            <w:r>
              <w:rPr>
                <w:snapToGrid w:val="0"/>
                <w:lang w:eastAsia="zh-CN"/>
              </w:rPr>
              <w:t>.</w:t>
            </w:r>
          </w:p>
          <w:p>
            <w:pPr>
              <w:pStyle w:val="66"/>
              <w:rPr>
                <w:snapToGrid w:val="0"/>
                <w:lang w:eastAsia="zh-CN"/>
              </w:rPr>
            </w:pPr>
            <w:r>
              <w:rPr>
                <w:snapToGrid w:val="0"/>
                <w:lang w:eastAsia="zh-CN"/>
              </w:rPr>
              <w:t>NOTE 3: The eDRX_IDLE cycle lengths are as specified in Section 10.5.5.32 of TS 24.008 [34].</w:t>
            </w:r>
          </w:p>
          <w:p>
            <w:pPr>
              <w:pStyle w:val="66"/>
              <w:rPr>
                <w:snapToGrid w:val="0"/>
                <w:lang w:eastAsia="zh-CN"/>
              </w:rPr>
            </w:pPr>
            <w:r>
              <w:rPr>
                <w:snapToGrid w:val="0"/>
                <w:lang w:eastAsia="zh-CN"/>
              </w:rPr>
              <w:t>NOTE 4: 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 xml:space="preserve">NOTE </w:t>
            </w:r>
            <w:r>
              <w:rPr>
                <w:rFonts w:cs="Arial"/>
              </w:rPr>
              <w:t>5:</w:t>
            </w:r>
            <w:r>
              <w:rPr>
                <w:lang w:val="en-US"/>
              </w:rPr>
              <w:t xml:space="preserve"> </w:t>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lang w:eastAsia="zh-CN"/>
              </w:rPr>
            </w:pPr>
            <w:r>
              <w:rPr>
                <w:rFonts w:cs="Arial"/>
                <w:iCs/>
              </w:rPr>
              <w:t>NOTE 6: When eDRX=20.48s and DRX=0.32s, UE is allowed to perform cell evaluation within PTW in every 2 eDRX cycles.</w:t>
            </w:r>
          </w:p>
        </w:tc>
      </w:tr>
    </w:tbl>
    <w:p>
      <w:pPr>
        <w:rPr>
          <w:lang w:val="en-US" w:eastAsia="zh-CN"/>
        </w:rPr>
      </w:pPr>
    </w:p>
    <w:p>
      <w:pPr>
        <w:overflowPunct/>
        <w:autoSpaceDE/>
        <w:autoSpaceDN/>
        <w:adjustRightInd/>
        <w:textAlignment w:val="auto"/>
        <w:rPr>
          <w:rFonts w:eastAsiaTheme="minorEastAsia"/>
          <w:lang w:eastAsia="en-US"/>
        </w:rPr>
      </w:pPr>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
      <w:pPr>
        <w:pStyle w:val="5"/>
        <w:rPr>
          <w:lang w:val="en-US" w:eastAsia="zh-CN"/>
        </w:rPr>
      </w:pPr>
      <w:r>
        <w:rPr>
          <w:lang w:val="en-US" w:eastAsia="zh-CN"/>
        </w:rPr>
        <w:t>4.2.2.4</w:t>
      </w:r>
      <w:r>
        <w:rPr>
          <w:lang w:val="en-US" w:eastAsia="zh-CN"/>
        </w:rPr>
        <w:tab/>
      </w:r>
      <w:r>
        <w:rPr>
          <w:lang w:val="en-US" w:eastAsia="zh-CN"/>
        </w:rPr>
        <w:t>Measurements of inter-frequency NR cells</w:t>
      </w:r>
    </w:p>
    <w:p>
      <w:bookmarkStart w:id="3" w:name="_Toc5952539"/>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rPr>
      </w:pPr>
      <w:r>
        <w:rPr>
          <w:rFonts w:eastAsia="Malgun Gothic"/>
        </w:rPr>
        <w:t>If S</w:t>
      </w:r>
      <w:r>
        <w:rPr>
          <w:rFonts w:eastAsia="Malgun Gothic"/>
          <w:vertAlign w:val="subscript"/>
        </w:rPr>
        <w:t>rxlev</w:t>
      </w:r>
      <w:r>
        <w:rPr>
          <w:rFonts w:eastAsia="Malgun Gothic"/>
        </w:rPr>
        <w:t xml:space="preserve">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w:t>
      </w:r>
      <w:r>
        <w:rPr>
          <w:rFonts w:eastAsia="Malgun Gothic"/>
          <w:vertAlign w:val="subscript"/>
        </w:rPr>
        <w:t>Squal</w:t>
      </w:r>
      <w:r>
        <w:rPr>
          <w:rFonts w:eastAsia="Malgun Gothic"/>
        </w:rPr>
        <w:t xml:space="preserve">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ins w:id="16" w:author="Jingjing Chen_CMCC" w:date="2024-05-13T10:27:09Z"/>
          <w:rFonts w:cs="v4.2.0"/>
          <w:lang w:eastAsia="zh-CN"/>
        </w:rPr>
      </w:pPr>
      <w:r>
        <w:rPr>
          <w:rFonts w:cs="v4.2.0"/>
          <w:lang w:eastAsia="zh-CN"/>
        </w:rPr>
        <w:t xml:space="preserve">For a UE configured with </w:t>
      </w:r>
      <w:ins w:id="17" w:author="Jingjing Chen_CMCC" w:date="2024-05-13T10:27:06Z">
        <w:r>
          <w:rPr>
            <w:rFonts w:hint="eastAsia" w:cs="v4.2.0"/>
            <w:i/>
            <w:iCs/>
            <w:lang w:eastAsia="zh-CN"/>
          </w:rPr>
          <w:t>highSpeedMeasInterFreq-r17</w:t>
        </w:r>
      </w:ins>
      <w:del w:id="18" w:author="Jingjing Chen_CMCC" w:date="2024-05-13T10:27:06Z">
        <w:r>
          <w:rPr>
            <w:rFonts w:cs="v4.2.0"/>
            <w:i/>
            <w:iCs/>
            <w:lang w:eastAsia="zh-CN"/>
          </w:rPr>
          <w:delText>highSpeedMeasFlagFR2-r17</w:delText>
        </w:r>
      </w:del>
      <w:r>
        <w:rPr>
          <w:rFonts w:cs="v4.2.0"/>
          <w:lang w:eastAsia="zh-CN"/>
        </w:rPr>
        <w:t xml:space="preserve">, and configured with relaxed measurement criterion (lowMobilityEvaluation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pPr>
        <w:rPr>
          <w:rFonts w:cs="v4.2.0"/>
          <w:lang w:eastAsia="zh-CN"/>
        </w:rPr>
      </w:pPr>
      <w:ins w:id="19" w:author="Jingjing Chen_CMCC" w:date="2024-05-13T10:27:30Z">
        <w:r>
          <w:rPr>
            <w:rFonts w:eastAsia="Malgun Gothic"/>
          </w:rPr>
          <w:t>-</w:t>
        </w:r>
      </w:ins>
      <w:ins w:id="20" w:author="Jingjing Chen_CMCC" w:date="2024-05-13T10:27:30Z">
        <w:r>
          <w:rPr>
            <w:rFonts w:eastAsia="Malgun Gothic"/>
          </w:rPr>
          <w:tab/>
        </w:r>
      </w:ins>
      <w:ins w:id="21" w:author="Jingjing Chen_CMCC" w:date="2024-05-13T10:27:30Z">
        <w:r>
          <w:rPr>
            <w:rFonts w:hint="eastAsia" w:cs="v4.2.0"/>
            <w:lang w:val="en-US" w:eastAsia="zh-CN"/>
          </w:rPr>
          <w:t>if</w:t>
        </w:r>
      </w:ins>
      <w:ins w:id="22" w:author="Jingjing Chen_CMCC" w:date="2024-05-13T10:27:30Z">
        <w:r>
          <w:rPr>
            <w:rFonts w:cs="v4.2.0"/>
            <w:lang w:eastAsia="zh-CN"/>
          </w:rPr>
          <w:t xml:space="preserve"> the relaxed measurement criteria in section 4.2.2.9.2 are fulfilled</w:t>
        </w:r>
      </w:ins>
      <w:ins w:id="23" w:author="Jingjing Chen_CMCC" w:date="2024-05-13T10:27:30Z">
        <w:r>
          <w:rPr>
            <w:rFonts w:hint="eastAsia" w:cs="v4.2.0"/>
            <w:lang w:val="en-US" w:eastAsia="zh-CN"/>
          </w:rPr>
          <w:t xml:space="preserve">, </w:t>
        </w:r>
      </w:ins>
      <w:r>
        <w:rPr>
          <w:rFonts w:cs="v4.2.0"/>
          <w:lang w:eastAsia="zh-CN"/>
        </w:rPr>
        <w:t>it is up to UE implementation whether to apply the relaxed measurements requirements specified in clause 4.2.2.</w:t>
      </w:r>
      <w:r>
        <w:rPr>
          <w:rFonts w:hint="eastAsia" w:cs="v4.2.0"/>
          <w:lang w:eastAsia="zh-CN"/>
        </w:rPr>
        <w:t>10</w:t>
      </w:r>
      <w:r>
        <w:rPr>
          <w:rFonts w:cs="v4.2.0"/>
          <w:lang w:eastAsia="zh-CN"/>
        </w:rPr>
        <w:t>.2 or high speed requirements specified in this clause</w:t>
      </w:r>
      <w:del w:id="24" w:author="Jingjing Chen_CMCC" w:date="2024-05-13T10:27:14Z">
        <w:r>
          <w:rPr>
            <w:rFonts w:cs="v4.2.0"/>
            <w:lang w:eastAsia="zh-CN"/>
          </w:rPr>
          <w:delText xml:space="preserve"> provided that the relaxed measurement criteria in section 4.2.2.</w:delText>
        </w:r>
      </w:del>
      <w:del w:id="25" w:author="Jingjing Chen_CMCC" w:date="2024-05-13T10:27:14Z">
        <w:r>
          <w:rPr>
            <w:rFonts w:hint="eastAsia" w:cs="v4.2.0"/>
            <w:lang w:eastAsia="zh-CN"/>
          </w:rPr>
          <w:delText>10</w:delText>
        </w:r>
      </w:del>
      <w:del w:id="26" w:author="Jingjing Chen_CMCC" w:date="2024-05-13T10:27:14Z">
        <w:r>
          <w:rPr>
            <w:rFonts w:cs="v4.2.0"/>
            <w:lang w:eastAsia="zh-CN"/>
          </w:rPr>
          <w:delText>.2 are fulfilled.</w:delText>
        </w:r>
      </w:del>
    </w:p>
    <w:p>
      <w:pPr>
        <w:rPr>
          <w:ins w:id="27" w:author="Jingjing Chen_CMCC" w:date="2024-05-13T10:27:21Z"/>
          <w:rFonts w:eastAsia="Malgun Gothic" w:cs="v4.2.0"/>
        </w:rPr>
      </w:pPr>
      <w:ins w:id="28" w:author="Jingjing Chen_CMCC" w:date="2024-05-13T10:27:38Z">
        <w:r>
          <w:rPr>
            <w:rFonts w:eastAsia="Malgun Gothic"/>
          </w:rPr>
          <w:t>-</w:t>
        </w:r>
      </w:ins>
      <w:ins w:id="29" w:author="Jingjing Chen_CMCC" w:date="2024-05-13T10:27:38Z">
        <w:r>
          <w:rPr>
            <w:rFonts w:eastAsia="Malgun Gothic"/>
          </w:rPr>
          <w:tab/>
        </w:r>
      </w:ins>
      <w:ins w:id="30" w:author="Jingjing Chen_CMCC" w:date="2024-05-13T10:27:38Z">
        <w:r>
          <w:rPr>
            <w:rFonts w:hint="eastAsia" w:cs="v4.2.0"/>
            <w:lang w:val="en-US" w:eastAsia="zh-CN"/>
          </w:rPr>
          <w:t>otherwise, h</w:t>
        </w:r>
      </w:ins>
      <w:ins w:id="31" w:author="Jingjing Chen_CMCC" w:date="2024-05-13T10:27:38Z">
        <w:r>
          <w:rPr>
            <w:rFonts w:cs="v4.2.0"/>
            <w:lang w:eastAsia="zh-CN"/>
          </w:rPr>
          <w:t xml:space="preserve">igh speed requirements specified in this clause </w:t>
        </w:r>
      </w:ins>
      <w:ins w:id="32" w:author="Jingjing Chen_CMCC" w:date="2024-05-13T10:27:38Z">
        <w:r>
          <w:rPr>
            <w:rFonts w:hint="eastAsia" w:cs="v4.2.0"/>
            <w:lang w:val="en-US" w:eastAsia="zh-CN"/>
          </w:rPr>
          <w:t>shall be applied</w:t>
        </w:r>
      </w:ins>
    </w:p>
    <w:p>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or </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w:t>
      </w:r>
      <w:r>
        <w:rPr>
          <w:rFonts w:eastAsia="Malgun Gothic"/>
        </w:rPr>
        <w:t>or</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or </w:t>
      </w:r>
      <w:r>
        <w:rPr>
          <w:rFonts w:eastAsia="Malgun Gothic"/>
          <w:i/>
        </w:rPr>
        <w:t>highSpeedMeasFlagFR2-r17</w:t>
      </w:r>
      <w:r>
        <w:rPr>
          <w:rFonts w:eastAsia="Malgun Gothic"/>
        </w:rPr>
        <w:t xml:space="preserve">for FR2.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 or</w:t>
      </w:r>
      <w:r>
        <w:rPr>
          <w:rFonts w:eastAsia="Malgun Gothic"/>
          <w:i/>
        </w:rPr>
        <w:t xml:space="preserve"> highSpeedMeasFlagFR2-r17</w:t>
      </w:r>
      <w:r>
        <w:rPr>
          <w:rFonts w:eastAsia="Malgun Gothic"/>
        </w:rPr>
        <w:t xml:space="preserve"> for FR2.</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A UE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rPr>
        <w:t xml:space="preserve"> in FR1; or table 4.2.2.4-</w:t>
      </w:r>
      <w:r>
        <w:t>2a</w:t>
      </w:r>
      <w:r>
        <w:rPr>
          <w:rFonts w:eastAsia="Malgun Gothic"/>
        </w:rPr>
        <w:t xml:space="preserve"> if UE declares support of idle mode inter-frequency measurement enhancement when configured with</w:t>
      </w:r>
      <w:r>
        <w:rPr>
          <w:rFonts w:eastAsia="Malgun Gothic"/>
          <w:i/>
        </w:rPr>
        <w:t>highSpeedMeasFlagFR2-r17</w:t>
      </w:r>
      <w:r>
        <w:rPr>
          <w:rFonts w:eastAsia="Malgun Gothic"/>
        </w:rPr>
        <w:t>in FR2;</w:t>
      </w:r>
      <w:r>
        <w:rPr>
          <w:rFonts w:eastAsia="Malgun Gothic" w:cs="v4.2.0"/>
        </w:rPr>
        <w:t xml:space="preserve">else see </w:t>
      </w:r>
      <w:r>
        <w:rPr>
          <w:rFonts w:eastAsia="Malgun Gothic"/>
        </w:rPr>
        <w:t xml:space="preserve">table 4.2.2.4-1)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A UE </w:t>
      </w:r>
      <w:r>
        <w:rPr>
          <w:rFonts w:eastAsia="Malgun Gothic"/>
        </w:rPr>
        <w:t xml:space="preserve">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 or</w:t>
      </w:r>
      <w:r>
        <w:rPr>
          <w:rFonts w:eastAsia="Malgun Gothic"/>
          <w:i/>
        </w:rPr>
        <w:t>highSpeedMeasFlagFR2-r17</w:t>
      </w:r>
      <w:r>
        <w:rPr>
          <w:iCs/>
          <w:color w:val="000000" w:themeColor="text1"/>
          <w:lang w:eastAsia="zh-CN"/>
          <w14:textFill>
            <w14:solidFill>
              <w14:schemeClr w14:val="tx1"/>
            </w14:solidFill>
          </w14:textFill>
        </w:rPr>
        <w:t xml:space="preserve">for FR2 </w:t>
      </w:r>
      <w:r>
        <w:rPr>
          <w:rFonts w:eastAsia="Malgun Gothic" w:cs="v4.2.0"/>
        </w:rPr>
        <w:t>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 and</w:t>
      </w:r>
      <w:r>
        <w:rPr>
          <w:rFonts w:eastAsia="Malgun Gothic"/>
          <w:i/>
        </w:rPr>
        <w:t>highSpeedMeasFlagFR2-r17</w:t>
      </w:r>
      <w:r>
        <w:rPr>
          <w:iCs/>
          <w:color w:val="000000" w:themeColor="text1"/>
          <w:lang w:eastAsia="zh-CN"/>
          <w14:textFill>
            <w14:solidFill>
              <w14:schemeClr w14:val="tx1"/>
            </w14:solidFill>
          </w14:textFill>
        </w:rPr>
        <w:t>for FR2</w:t>
      </w:r>
      <w:r>
        <w:rPr>
          <w:rFonts w:eastAsia="Malgun Gothic" w:cs="v4.2.0"/>
        </w:rPr>
        <w:t>.</w:t>
      </w:r>
    </w:p>
    <w:p>
      <w:pPr>
        <w:rPr>
          <w:rFonts w:eastAsia="Malgun Gothic"/>
        </w:rPr>
      </w:pPr>
      <w:r>
        <w:rPr>
          <w:rFonts w:eastAsia="Malgun Gothic"/>
        </w:rPr>
        <w:t xml:space="preserve">A UE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cs="v4.2.0" w:eastAsiaTheme="minorEastAsia"/>
          <w:lang w:eastAsia="zh-CN"/>
        </w:rPr>
      </w:pPr>
      <w:r>
        <w:rPr>
          <w:rFonts w:eastAsia="Malgun Gothic" w:cs="v4.2.0"/>
        </w:rPr>
        <w:t xml:space="preserve">A UE </w:t>
      </w:r>
      <w:r>
        <w:rPr>
          <w:rFonts w:eastAsia="Malgun Gothic"/>
        </w:rPr>
        <w:t xml:space="preserve">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 xml:space="preserve">For an inter-frequency cell that has been already detected, but that has not been reselected to, the filtering shall be such that the UE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rPr>
        <w:t>in FR1</w:t>
      </w:r>
      <w:r>
        <w:rPr>
          <w:rFonts w:eastAsia="Malgun Gothic" w:cs="v4.2.0"/>
        </w:rPr>
        <w:t xml:space="preserve">; or </w:t>
      </w:r>
      <w:r>
        <w:rPr>
          <w:rFonts w:eastAsia="Malgun Gothic"/>
        </w:rPr>
        <w:t>table 4.2.2.4-</w:t>
      </w:r>
      <w:r>
        <w:t>2a</w:t>
      </w:r>
      <w:r>
        <w:rPr>
          <w:rFonts w:eastAsia="Malgun Gothic"/>
        </w:rPr>
        <w:t xml:space="preserve"> </w:t>
      </w:r>
      <w:r>
        <w:rPr>
          <w:rFonts w:eastAsia="Malgun Gothic" w:cs="v4.2.0"/>
        </w:rPr>
        <w:t xml:space="preserve">if </w:t>
      </w:r>
      <w:r>
        <w:rPr>
          <w:rFonts w:eastAsia="Malgun Gothic"/>
        </w:rPr>
        <w:t>UEdeclares support of idle mode inter-frequency measurement enhancement when configured with</w:t>
      </w:r>
      <w:r>
        <w:rPr>
          <w:rFonts w:eastAsia="Malgun Gothic"/>
          <w:i/>
        </w:rPr>
        <w:t>highSpeedMeasFlagFR2-r17</w:t>
      </w:r>
      <w:r>
        <w:rPr>
          <w:rFonts w:eastAsia="Malgun Gothic"/>
        </w:rPr>
        <w:t>in FR2;</w:t>
      </w:r>
      <w:r>
        <w:rPr>
          <w:rFonts w:eastAsia="Malgun Gothic" w:cs="v4.2.0"/>
        </w:rPr>
        <w:t xml:space="preserve">else  in </w:t>
      </w:r>
      <w:r>
        <w:rPr>
          <w:rFonts w:eastAsia="Malgun Gothic"/>
        </w:rPr>
        <w:t>table 4.2.2.4-1)</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6"/>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7"/>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6"/>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7"/>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the T</w:t>
      </w:r>
      <w:r>
        <w:rPr>
          <w:rFonts w:eastAsia="Malgun Gothic"/>
          <w:vertAlign w:val="subscript"/>
          <w:lang w:eastAsia="zh-CN"/>
        </w:rPr>
        <w:t>reselection</w:t>
      </w:r>
      <w:r>
        <w:rPr>
          <w:rFonts w:eastAsia="Malgun Gothic"/>
          <w:lang w:eastAsia="zh-CN"/>
        </w:rPr>
        <w:t xml:space="preserve"> timer has a non-zero value and the inter-frequency cell satisfies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to this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6"/>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pPr>
        <w:rPr>
          <w:rFonts w:eastAsia="Malgun Gothic"/>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detect,NR_Inter,</w:t>
      </w:r>
      <w:r>
        <w:t xml:space="preserve"> T</w:t>
      </w:r>
      <w:r>
        <w:rPr>
          <w:vertAlign w:val="subscript"/>
        </w:rPr>
        <w:t>measure,NR_Inter</w:t>
      </w:r>
      <w:r>
        <w:t xml:space="preserve"> and T</w:t>
      </w:r>
      <w:r>
        <w:rPr>
          <w:vertAlign w:val="subscript"/>
        </w:rPr>
        <w:t>evaluate,NR_ Inter</w:t>
      </w:r>
      <w:r>
        <w:t xml:space="preserve"> when multiple PTWs are used.</w:t>
      </w:r>
    </w:p>
    <w:p>
      <w:pPr>
        <w:keepNext/>
        <w:keepLines/>
        <w:spacing w:before="60"/>
        <w:jc w:val="center"/>
        <w:rPr>
          <w:rFonts w:ascii="Arial" w:hAnsi="Arial" w:eastAsia="Malgun Gothic"/>
          <w:b/>
          <w:vertAlign w:val="subscript"/>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eastAsia="CG Times (WN)"/>
                <w:lang w:val="en-US" w:eastAsia="zh-CN"/>
              </w:rPr>
              <w:tab/>
            </w:r>
            <w:r>
              <w:t>W</w:t>
            </w:r>
            <w:r>
              <w:rPr>
                <w:lang w:eastAsia="zh-CN"/>
              </w:rPr>
              <w:t>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The requirements apply to UE that declares support of IDLE mode inter-frequency measurement enhancement for HST in FR1, otherwise Table 4.2.2.4-1 shall be used.</w:t>
            </w:r>
          </w:p>
        </w:tc>
      </w:tr>
    </w:tbl>
    <w:p/>
    <w:p>
      <w:pPr>
        <w:pStyle w:val="55"/>
      </w:pPr>
      <w:r>
        <w:t>Table 4.2.2.4-2a: T</w:t>
      </w:r>
      <w:r>
        <w:rPr>
          <w:vertAlign w:val="subscript"/>
        </w:rPr>
        <w:t>detect,NR_Inter_HST,</w:t>
      </w:r>
      <w:r>
        <w:t xml:space="preserve"> T</w:t>
      </w:r>
      <w:r>
        <w:rPr>
          <w:vertAlign w:val="subscript"/>
        </w:rPr>
        <w:t>measure, NR_Inter_HST</w:t>
      </w:r>
      <w:r>
        <w:t xml:space="preserve"> and T</w:t>
      </w:r>
      <w:r>
        <w:rPr>
          <w:vertAlign w:val="subscript"/>
        </w:rPr>
        <w:t xml:space="preserve">evaluate, NR_Inter_HST </w:t>
      </w:r>
      <w:r>
        <w:t xml:space="preserve">for FR2 configured with </w:t>
      </w:r>
      <w:r>
        <w:rPr>
          <w:rFonts w:eastAsia="Malgun Gothic"/>
        </w:rPr>
        <w:t xml:space="preserve"> </w:t>
      </w:r>
      <w:r>
        <w:rPr>
          <w:rFonts w:eastAsia="Malgun Gothic"/>
          <w:i/>
        </w:rPr>
        <w:t>highSpeedMeasFlagFR2-r17</w:t>
      </w:r>
      <w:r>
        <w:rPr>
          <w:bCs/>
          <w:vertAlign w:val="superscript"/>
        </w:rPr>
        <w:t>note2, note4</w:t>
      </w:r>
    </w:p>
    <w:tbl>
      <w:tblPr>
        <w:tblStyle w:val="42"/>
        <w:tblpPr w:leftFromText="180" w:rightFromText="180" w:vertAnchor="text" w:tblpXSpec="center" w:tblpY="1"/>
        <w:tblOverlap w:val="never"/>
        <w:tblW w:w="47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detect,NR_Inter_HST</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 NR_Inter_HST</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 NR_Inter_HST</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N1</w:t>
            </w:r>
            <w:r>
              <w:rPr>
                <w:vertAlign w:val="superscript"/>
              </w:rPr>
              <w:t>Note3</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r>
              <w:rPr>
                <w:vertAlign w:val="superscript"/>
              </w:rPr>
              <w:t>Note1</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r>
              <w:rPr>
                <w:vertAlign w:val="superscript"/>
              </w:rPr>
              <w:t>Note1</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rFonts w:eastAsia="等线"/>
                <w:lang w:val="en-US" w:eastAsia="zh-CN"/>
              </w:rPr>
            </w:pPr>
            <w:r>
              <w:rPr>
                <w:lang w:eastAsia="zh-CN"/>
              </w:rPr>
              <w:t>Note 2:</w:t>
            </w:r>
            <w:r>
              <w:rPr>
                <w:lang w:val="en-US"/>
              </w:rPr>
              <w:tab/>
            </w:r>
            <w:r>
              <w:rPr>
                <w:lang w:val="en-US"/>
              </w:rPr>
              <w:t xml:space="preserve">The requirements apply to </w:t>
            </w:r>
            <w:r>
              <w:rPr>
                <w:lang w:val="en-US" w:eastAsia="zh-CN"/>
              </w:rPr>
              <w:t>UE that declares support of idle mode inter-frequency measurement enhancement for HST in FR2, otherwise Table 4.2.2.4-1 shall be used.</w:t>
            </w:r>
          </w:p>
          <w:p>
            <w:pPr>
              <w:pStyle w:val="66"/>
              <w:rPr>
                <w:lang w:val="en-US" w:eastAsia="zh-CN"/>
              </w:rPr>
            </w:pPr>
            <w:r>
              <w:rPr>
                <w:lang w:eastAsia="zh-CN"/>
              </w:rPr>
              <w:t>Note 3:</w:t>
            </w:r>
            <w:r>
              <w:rPr>
                <w:lang w:val="en-US"/>
              </w:rPr>
              <w:tab/>
            </w:r>
            <w:r>
              <w:rPr>
                <w:rFonts w:hint="eastAsia"/>
                <w:lang w:val="en-US" w:eastAsia="zh-CN"/>
              </w:rPr>
              <w:t>N</w:t>
            </w:r>
            <w:r>
              <w:rPr>
                <w:lang w:val="en-US" w:eastAsia="zh-CN"/>
              </w:rPr>
              <w:t>1</w:t>
            </w:r>
            <w:r>
              <w:rPr>
                <w:rFonts w:hint="eastAsia"/>
                <w:lang w:val="en-US" w:eastAsia="zh-CN"/>
              </w:rPr>
              <w:t xml:space="preserve"> = </w:t>
            </w:r>
            <w:r>
              <w:rPr>
                <w:lang w:val="en-US" w:eastAsia="zh-CN"/>
              </w:rPr>
              <w:t>2</w:t>
            </w:r>
            <w:r>
              <w:rPr>
                <w:rFonts w:hint="eastAsia"/>
                <w:lang w:val="en-US" w:eastAsia="zh-CN"/>
              </w:rPr>
              <w:t xml:space="preserve"> when </w:t>
            </w:r>
            <w:r>
              <w:rPr>
                <w:rFonts w:hint="eastAsia"/>
                <w:i/>
                <w:iCs/>
                <w:lang w:val="en-US" w:eastAsia="zh-CN"/>
              </w:rPr>
              <w:t>highSpeedMeasFlagFR2-r17</w:t>
            </w:r>
            <w:r>
              <w:rPr>
                <w:rFonts w:hint="eastAsia"/>
                <w:lang w:val="en-US" w:eastAsia="zh-CN"/>
              </w:rPr>
              <w:t>= set1</w:t>
            </w:r>
            <w:r>
              <w:rPr>
                <w:lang w:val="en-US" w:eastAsia="zh-CN"/>
              </w:rPr>
              <w:t>,</w:t>
            </w:r>
            <w:r>
              <w:rPr>
                <w:rFonts w:hint="eastAsia"/>
                <w:lang w:val="en-US" w:eastAsia="zh-CN"/>
              </w:rPr>
              <w:t xml:space="preserve"> N</w:t>
            </w:r>
            <w:r>
              <w:rPr>
                <w:lang w:val="en-US" w:eastAsia="zh-CN"/>
              </w:rPr>
              <w:t>1</w:t>
            </w:r>
            <w:r>
              <w:rPr>
                <w:rFonts w:hint="eastAsia"/>
                <w:lang w:val="en-US" w:eastAsia="zh-CN"/>
              </w:rPr>
              <w:t xml:space="preserve"> = 6 when </w:t>
            </w:r>
            <w:r>
              <w:rPr>
                <w:rFonts w:hint="eastAsia"/>
                <w:i/>
                <w:iCs/>
                <w:lang w:val="en-US" w:eastAsia="zh-CN"/>
              </w:rPr>
              <w:t>highSpeedMeasFlagFR2-r17</w:t>
            </w:r>
            <w:r>
              <w:rPr>
                <w:rFonts w:hint="eastAsia"/>
                <w:lang w:val="en-US" w:eastAsia="zh-CN"/>
              </w:rPr>
              <w:t>= set2.</w:t>
            </w:r>
          </w:p>
          <w:p>
            <w:pPr>
              <w:pStyle w:val="66"/>
              <w:rPr>
                <w:lang w:val="en-US" w:eastAsia="zh-CN"/>
              </w:rPr>
            </w:pPr>
            <w:r>
              <w:rPr>
                <w:lang w:val="en-US" w:eastAsia="zh-CN"/>
              </w:rPr>
              <w:t>Note 4:</w:t>
            </w:r>
            <w:r>
              <w:rPr>
                <w:lang w:val="en-US"/>
              </w:rPr>
              <w:tab/>
            </w:r>
            <w:r>
              <w:rPr>
                <w:lang w:val="en-US" w:eastAsia="zh-CN"/>
              </w:rPr>
              <w:t>The requirements apply for the HST Idle mode inter-frequency measurement enhancement only if highSpeedMeasFlagFR2-r17 is signalled in SIB1.</w:t>
            </w:r>
          </w:p>
        </w:tc>
      </w:tr>
    </w:tbl>
    <w:p/>
    <w:p>
      <w:pPr>
        <w:pStyle w:val="55"/>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1"/>
              <w:rPr>
                <w:lang w:val="en-US" w:eastAsia="zh-CN"/>
              </w:rPr>
            </w:pPr>
            <w:r>
              <w:rPr>
                <w:lang w:eastAsia="zh-CN"/>
              </w:rPr>
              <w:t>eDRX_IDLE cycle length [s]</w:t>
            </w:r>
          </w:p>
        </w:tc>
        <w:tc>
          <w:tcPr>
            <w:tcW w:w="404" w:type="pct"/>
            <w:vMerge w:val="restart"/>
          </w:tcPr>
          <w:p>
            <w:pPr>
              <w:pStyle w:val="51"/>
              <w:rPr>
                <w:lang w:val="en-US" w:eastAsia="zh-CN"/>
              </w:rPr>
            </w:pPr>
            <w:r>
              <w:rPr>
                <w:lang w:eastAsia="zh-CN"/>
              </w:rPr>
              <w:t>DRX cycle length [s]</w:t>
            </w:r>
          </w:p>
        </w:tc>
        <w:tc>
          <w:tcPr>
            <w:tcW w:w="680" w:type="pct"/>
            <w:vMerge w:val="restart"/>
          </w:tcPr>
          <w:p>
            <w:pPr>
              <w:pStyle w:val="51"/>
              <w:rPr>
                <w:lang w:val="en-US" w:eastAsia="zh-CN"/>
              </w:rPr>
            </w:pPr>
            <w:r>
              <w:rPr>
                <w:lang w:eastAsia="zh-CN"/>
              </w:rPr>
              <w:t>PTW length [s] (number of 1.28s periods)</w:t>
            </w:r>
          </w:p>
        </w:tc>
        <w:tc>
          <w:tcPr>
            <w:tcW w:w="1498" w:type="pct"/>
            <w:vMerge w:val="restart"/>
          </w:tcPr>
          <w:p>
            <w:pPr>
              <w:pStyle w:val="51"/>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Pr>
          <w:p>
            <w:pPr>
              <w:pStyle w:val="51"/>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Pr>
          <w:p>
            <w:pPr>
              <w:pStyle w:val="51"/>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eastAsia="zh-CN"/>
              </w:rPr>
            </w:pPr>
          </w:p>
        </w:tc>
        <w:tc>
          <w:tcPr>
            <w:tcW w:w="404" w:type="pct"/>
            <w:vMerge w:val="continue"/>
          </w:tcPr>
          <w:p>
            <w:pPr>
              <w:rPr>
                <w:rFonts w:ascii="Arial" w:hAnsi="Arial" w:cs="Arial"/>
                <w:sz w:val="18"/>
                <w:lang w:val="en-US" w:eastAsia="zh-CN"/>
              </w:rPr>
            </w:pPr>
          </w:p>
        </w:tc>
        <w:tc>
          <w:tcPr>
            <w:tcW w:w="680" w:type="pct"/>
            <w:vMerge w:val="continue"/>
          </w:tcPr>
          <w:p>
            <w:pPr>
              <w:rPr>
                <w:rFonts w:ascii="Arial" w:hAnsi="Arial" w:cs="Arial"/>
                <w:sz w:val="18"/>
                <w:lang w:val="en-US" w:eastAsia="zh-CN"/>
              </w:rPr>
            </w:pPr>
          </w:p>
        </w:tc>
        <w:tc>
          <w:tcPr>
            <w:tcW w:w="1498" w:type="pct"/>
            <w:vMerge w:val="continue"/>
          </w:tcPr>
          <w:p>
            <w:pPr>
              <w:rPr>
                <w:rFonts w:ascii="Arial" w:hAnsi="Arial" w:cs="Arial"/>
                <w:sz w:val="18"/>
                <w:lang w:val="en-US" w:eastAsia="zh-CN"/>
              </w:rPr>
            </w:pPr>
          </w:p>
        </w:tc>
        <w:tc>
          <w:tcPr>
            <w:tcW w:w="863" w:type="pct"/>
            <w:vMerge w:val="continue"/>
          </w:tcPr>
          <w:p>
            <w:pPr>
              <w:rPr>
                <w:rFonts w:ascii="Arial" w:hAnsi="Arial" w:cs="Arial"/>
                <w:sz w:val="18"/>
                <w:lang w:val="en-US" w:eastAsia="zh-CN"/>
              </w:rPr>
            </w:pPr>
          </w:p>
        </w:tc>
        <w:tc>
          <w:tcPr>
            <w:tcW w:w="910" w:type="pct"/>
            <w:vMerge w:val="continue"/>
          </w:tcPr>
          <w:p>
            <w:pPr>
              <w:rPr>
                <w:rFonts w:ascii="Arial" w:hAnsi="Arial"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val="en-US" w:eastAsia="zh-CN"/>
              </w:rPr>
              <w:t>2.56</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val="en-US" w:eastAsia="zh-CN"/>
              </w:rPr>
              <w:t>-</w:t>
            </w:r>
          </w:p>
        </w:tc>
        <w:tc>
          <w:tcPr>
            <w:tcW w:w="1498" w:type="pct"/>
          </w:tcPr>
          <w:p>
            <w:pPr>
              <w:pStyle w:val="52"/>
              <w:rPr>
                <w:lang w:eastAsia="zh-CN"/>
              </w:rPr>
            </w:pPr>
            <w:r>
              <w:rPr>
                <w:lang w:eastAsia="zh-CN"/>
              </w:rPr>
              <w:t>58.88 (23)</w:t>
            </w:r>
          </w:p>
        </w:tc>
        <w:tc>
          <w:tcPr>
            <w:tcW w:w="863" w:type="pct"/>
          </w:tcPr>
          <w:p>
            <w:pPr>
              <w:pStyle w:val="52"/>
              <w:rPr>
                <w:lang w:eastAsia="zh-CN"/>
              </w:rPr>
            </w:pPr>
            <w:r>
              <w:rPr>
                <w:lang w:eastAsia="zh-CN"/>
              </w:rPr>
              <w:t>2.56 (1)</w:t>
            </w:r>
          </w:p>
        </w:tc>
        <w:tc>
          <w:tcPr>
            <w:tcW w:w="910" w:type="pct"/>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eastAsia="zh-CN"/>
              </w:rPr>
            </w:pPr>
            <w:r>
              <w:rPr>
                <w:lang w:eastAsia="zh-CN"/>
              </w:rPr>
              <w:t>5.12</w:t>
            </w:r>
          </w:p>
        </w:tc>
        <w:tc>
          <w:tcPr>
            <w:tcW w:w="404" w:type="pct"/>
          </w:tcPr>
          <w:p>
            <w:pPr>
              <w:pStyle w:val="52"/>
              <w:rPr>
                <w:lang w:val="en-US" w:eastAsia="zh-CN"/>
              </w:rPr>
            </w:pPr>
            <w:r>
              <w:rPr>
                <w:lang w:val="en-US" w:eastAsia="zh-CN"/>
              </w:rPr>
              <w:t>-</w:t>
            </w:r>
          </w:p>
        </w:tc>
        <w:tc>
          <w:tcPr>
            <w:tcW w:w="680" w:type="pct"/>
          </w:tcPr>
          <w:p>
            <w:pPr>
              <w:pStyle w:val="52"/>
              <w:rPr>
                <w:lang w:eastAsia="zh-CN"/>
              </w:rPr>
            </w:pPr>
            <w:r>
              <w:rPr>
                <w:lang w:eastAsia="zh-CN"/>
              </w:rPr>
              <w:t>-</w:t>
            </w:r>
          </w:p>
        </w:tc>
        <w:tc>
          <w:tcPr>
            <w:tcW w:w="1498" w:type="pct"/>
          </w:tcPr>
          <w:p>
            <w:pPr>
              <w:pStyle w:val="52"/>
              <w:rPr>
                <w:lang w:eastAsia="zh-CN"/>
              </w:rPr>
            </w:pPr>
            <w:r>
              <w:rPr>
                <w:lang w:eastAsia="zh-CN"/>
              </w:rPr>
              <w:t>117.76 (23)</w:t>
            </w:r>
          </w:p>
        </w:tc>
        <w:tc>
          <w:tcPr>
            <w:tcW w:w="863" w:type="pct"/>
          </w:tcPr>
          <w:p>
            <w:pPr>
              <w:pStyle w:val="52"/>
              <w:rPr>
                <w:lang w:eastAsia="zh-CN"/>
              </w:rPr>
            </w:pPr>
            <w:r>
              <w:rPr>
                <w:lang w:eastAsia="zh-CN"/>
              </w:rPr>
              <w:t>5.12 (1)</w:t>
            </w:r>
          </w:p>
        </w:tc>
        <w:tc>
          <w:tcPr>
            <w:tcW w:w="910" w:type="pct"/>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eastAsia="zh-CN"/>
              </w:rPr>
              <w:t>10.24</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eastAsia="zh-CN"/>
              </w:rPr>
              <w:t>-</w:t>
            </w:r>
          </w:p>
        </w:tc>
        <w:tc>
          <w:tcPr>
            <w:tcW w:w="1498" w:type="pct"/>
          </w:tcPr>
          <w:p>
            <w:pPr>
              <w:pStyle w:val="52"/>
              <w:rPr>
                <w:lang w:val="en-US" w:eastAsia="zh-CN"/>
              </w:rPr>
            </w:pPr>
            <w:r>
              <w:rPr>
                <w:lang w:eastAsia="zh-CN"/>
              </w:rPr>
              <w:t>235.52 (23)</w:t>
            </w:r>
          </w:p>
        </w:tc>
        <w:tc>
          <w:tcPr>
            <w:tcW w:w="863" w:type="pct"/>
          </w:tcPr>
          <w:p>
            <w:pPr>
              <w:pStyle w:val="52"/>
              <w:rPr>
                <w:lang w:val="en-US" w:eastAsia="zh-CN"/>
              </w:rPr>
            </w:pPr>
            <w:r>
              <w:rPr>
                <w:lang w:eastAsia="zh-CN"/>
              </w:rPr>
              <w:t>10.24 (1)</w:t>
            </w:r>
          </w:p>
        </w:tc>
        <w:tc>
          <w:tcPr>
            <w:tcW w:w="910" w:type="pct"/>
          </w:tcPr>
          <w:p>
            <w:pPr>
              <w:pStyle w:val="52"/>
              <w:rPr>
                <w:lang w:val="en-US"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tcBorders>
              <w:bottom w:val="nil"/>
            </w:tcBorders>
          </w:tcPr>
          <w:p>
            <w:pPr>
              <w:pStyle w:val="52"/>
              <w:rPr>
                <w:rFonts w:cs="Arial"/>
                <w:lang w:val="en-US" w:eastAsia="zh-CN"/>
              </w:rPr>
            </w:pPr>
            <w:r>
              <w:rPr>
                <w:rFonts w:cs="Arial"/>
                <w:lang w:eastAsia="zh-CN"/>
              </w:rPr>
              <w:t>20.48 ≤</w:t>
            </w:r>
            <w:r>
              <w:rPr>
                <w:rFonts w:cs="Arial"/>
              </w:rPr>
              <w:t xml:space="preserve"> </w:t>
            </w:r>
            <w:r>
              <w:rPr>
                <w:rFonts w:cs="Arial"/>
                <w:lang w:eastAsia="zh-CN"/>
              </w:rPr>
              <w:t xml:space="preserve"> eDRX_IDLE cycle length ≤10485.76</w:t>
            </w:r>
          </w:p>
        </w:tc>
        <w:tc>
          <w:tcPr>
            <w:tcW w:w="404" w:type="pct"/>
          </w:tcPr>
          <w:p>
            <w:pPr>
              <w:pStyle w:val="52"/>
              <w:rPr>
                <w:rFonts w:cs="Arial"/>
                <w:lang w:val="en-US" w:eastAsia="zh-CN"/>
              </w:rPr>
            </w:pPr>
            <w:r>
              <w:rPr>
                <w:rFonts w:cs="Arial"/>
                <w:lang w:eastAsia="zh-CN"/>
              </w:rPr>
              <w:t>0.32</w:t>
            </w:r>
          </w:p>
        </w:tc>
        <w:tc>
          <w:tcPr>
            <w:tcW w:w="680" w:type="pct"/>
          </w:tcPr>
          <w:p>
            <w:pPr>
              <w:pStyle w:val="52"/>
              <w:rPr>
                <w:rFonts w:cs="Arial"/>
                <w:lang w:val="en-US" w:eastAsia="zh-CN"/>
              </w:rPr>
            </w:pPr>
            <w:r>
              <w:rPr>
                <w:rFonts w:cs="Arial"/>
                <w:lang w:eastAsia="zh-CN"/>
              </w:rPr>
              <w:t>≥1.28 (1)</w:t>
            </w:r>
          </w:p>
        </w:tc>
        <w:tc>
          <w:tcPr>
            <w:tcW w:w="1498" w:type="pct"/>
            <w:tcBorders>
              <w:bottom w:val="nil"/>
            </w:tcBorders>
          </w:tcPr>
          <w:p>
            <w:pPr>
              <w:pStyle w:val="52"/>
              <w:rPr>
                <w:rFonts w:cs="Arial"/>
                <w:lang w:val="en-US" w:eastAsia="zh-CN"/>
              </w:rPr>
            </w:pPr>
            <m:oMathPara>
              <m:oMath>
                <m:r>
                  <m:rPr/>
                  <w:rPr>
                    <w:rFonts w:ascii="Cambria Math" w:hAnsi="Cambria Math" w:cs="Arial"/>
                    <w:lang w:val="en-US" w:eastAsia="zh-CN"/>
                  </w:rPr>
                  <m:t>eDRX</m:t>
                </m:r>
                <m:r>
                  <m:rPr>
                    <m:sty m:val="p"/>
                  </m:rPr>
                  <w:rPr>
                    <w:rFonts w:ascii="Cambria Math" w:hAnsi="Cambria Math" w:cs="Arial"/>
                    <w:lang w:val="en-US" w:eastAsia="zh-CN"/>
                  </w:rPr>
                  <m:t>_</m:t>
                </m:r>
                <m:r>
                  <m:rPr/>
                  <w:rPr>
                    <w:rFonts w:ascii="Cambria Math" w:hAnsi="Cambria Math" w:cs="Arial"/>
                    <w:lang w:val="en-US" w:eastAsia="zh-CN"/>
                  </w:rPr>
                  <m:t>cycl</m:t>
                </m:r>
                <m:r>
                  <m:rPr>
                    <m:sty m:val="p"/>
                  </m:rPr>
                  <w:rPr>
                    <w:rFonts w:ascii="Cambria Math" w:hAnsi="Cambria Math" w:cs="Arial"/>
                    <w:lang w:val="en-US" w:eastAsia="zh-CN"/>
                  </w:rPr>
                  <m:t>e_</m:t>
                </m:r>
                <m:r>
                  <m:rPr/>
                  <w:rPr>
                    <w:rFonts w:ascii="Cambria Math" w:hAnsi="Cambria Math" w:cs="Arial"/>
                    <w:lang w:val="en-US" w:eastAsia="zh-CN"/>
                  </w:rPr>
                  <m:t>lengtℎ×</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m:rPr/>
                          <w:rPr>
                            <w:rFonts w:ascii="Cambria Math" w:hAnsi="Cambria Math" w:cs="Arial"/>
                            <w:lang w:val="en-US" w:eastAsia="zh-CN"/>
                          </w:rPr>
                          <m:t>23</m:t>
                        </m:r>
                        <m:ctrlPr>
                          <w:rPr>
                            <w:rFonts w:ascii="Cambria Math" w:hAnsi="Cambria Math" w:cs="Arial"/>
                            <w:i/>
                            <w:lang w:val="en-US" w:eastAsia="zh-CN"/>
                          </w:rPr>
                        </m:ctrlPr>
                      </m:num>
                      <m:den>
                        <m:r>
                          <m:rPr/>
                          <w:rPr>
                            <w:rFonts w:ascii="Cambria Math" w:hAnsi="Cambria Math" w:cs="Arial"/>
                            <w:lang w:val="en-US" w:eastAsia="zh-CN"/>
                          </w:rPr>
                          <m:t>PTW/DRX_cycle_lengtℎ</m:t>
                        </m:r>
                        <m:ctrlPr>
                          <w:rPr>
                            <w:rFonts w:ascii="Cambria Math" w:hAnsi="Cambria Math" w:cs="Arial"/>
                            <w:i/>
                            <w:lang w:val="en-US" w:eastAsia="zh-CN"/>
                          </w:rPr>
                        </m:ctrlPr>
                      </m:den>
                    </m:f>
                    <m:ctrlPr>
                      <w:rPr>
                        <w:rFonts w:ascii="Cambria Math" w:hAnsi="Cambria Math" w:cs="Arial"/>
                        <w:i/>
                        <w:lang w:val="en-US" w:eastAsia="zh-CN"/>
                      </w:rPr>
                    </m:ctrlPr>
                  </m:e>
                </m:d>
              </m:oMath>
            </m:oMathPara>
          </w:p>
          <w:p>
            <w:pPr>
              <w:pStyle w:val="52"/>
              <w:rPr>
                <w:rFonts w:cs="Arial"/>
                <w:lang w:val="en-US" w:eastAsia="zh-CN"/>
              </w:rPr>
            </w:pPr>
            <w:r>
              <w:rPr>
                <w:rFonts w:cs="Arial"/>
                <w:lang w:val="en-US" w:eastAsia="zh-CN"/>
              </w:rPr>
              <w:t>(23)</w:t>
            </w:r>
          </w:p>
        </w:tc>
        <w:tc>
          <w:tcPr>
            <w:tcW w:w="863" w:type="pct"/>
          </w:tcPr>
          <w:p>
            <w:pPr>
              <w:pStyle w:val="52"/>
              <w:rPr>
                <w:rFonts w:cs="Arial"/>
                <w:lang w:val="en-US" w:eastAsia="zh-CN"/>
              </w:rPr>
            </w:pPr>
            <w:r>
              <w:rPr>
                <w:rFonts w:cs="Arial"/>
                <w:lang w:eastAsia="zh-CN"/>
              </w:rPr>
              <w:t>0.32 x 1.5 (1 x 1.5)</w:t>
            </w:r>
          </w:p>
        </w:tc>
        <w:tc>
          <w:tcPr>
            <w:tcW w:w="910" w:type="pct"/>
          </w:tcPr>
          <w:p>
            <w:pPr>
              <w:pStyle w:val="52"/>
              <w:rPr>
                <w:rFonts w:cs="Arial"/>
                <w:lang w:val="en-US" w:eastAsia="zh-CN"/>
              </w:rPr>
            </w:pPr>
            <w:r>
              <w:rPr>
                <w:rFonts w:cs="Arial"/>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0.64</w:t>
            </w:r>
          </w:p>
        </w:tc>
        <w:tc>
          <w:tcPr>
            <w:tcW w:w="680" w:type="pct"/>
          </w:tcPr>
          <w:p>
            <w:pPr>
              <w:pStyle w:val="52"/>
              <w:rPr>
                <w:rFonts w:cs="Arial"/>
                <w:lang w:val="en-US" w:eastAsia="zh-CN"/>
              </w:rPr>
            </w:pPr>
            <w:r>
              <w:rPr>
                <w:rFonts w:cs="Arial"/>
                <w:lang w:eastAsia="zh-CN"/>
              </w:rPr>
              <w:t>≥1.28 (1)</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0.64 (1)</w:t>
            </w:r>
          </w:p>
        </w:tc>
        <w:tc>
          <w:tcPr>
            <w:tcW w:w="910" w:type="pct"/>
          </w:tcPr>
          <w:p>
            <w:pPr>
              <w:pStyle w:val="52"/>
              <w:rPr>
                <w:rFonts w:cs="Arial"/>
                <w:lang w:val="en-US" w:eastAsia="zh-CN"/>
              </w:rPr>
            </w:pPr>
            <w:r>
              <w:rPr>
                <w:rFonts w:cs="Arial"/>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1.28</w:t>
            </w:r>
          </w:p>
        </w:tc>
        <w:tc>
          <w:tcPr>
            <w:tcW w:w="680" w:type="pct"/>
          </w:tcPr>
          <w:p>
            <w:pPr>
              <w:pStyle w:val="52"/>
              <w:rPr>
                <w:rFonts w:cs="Arial"/>
                <w:lang w:val="en-US" w:eastAsia="zh-CN"/>
              </w:rPr>
            </w:pPr>
            <w:r>
              <w:rPr>
                <w:rFonts w:cs="Arial"/>
                <w:lang w:eastAsia="zh-CN"/>
              </w:rPr>
              <w:t>≥2.56 (2)</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1.28 (1)</w:t>
            </w:r>
          </w:p>
        </w:tc>
        <w:tc>
          <w:tcPr>
            <w:tcW w:w="910" w:type="pct"/>
          </w:tcPr>
          <w:p>
            <w:pPr>
              <w:pStyle w:val="52"/>
              <w:rPr>
                <w:rFonts w:cs="Arial"/>
                <w:lang w:val="en-US" w:eastAsia="zh-CN"/>
              </w:rPr>
            </w:pPr>
            <w:r>
              <w:rPr>
                <w:rFonts w:cs="Arial"/>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2.56</w:t>
            </w:r>
          </w:p>
        </w:tc>
        <w:tc>
          <w:tcPr>
            <w:tcW w:w="680" w:type="pct"/>
          </w:tcPr>
          <w:p>
            <w:pPr>
              <w:pStyle w:val="52"/>
              <w:rPr>
                <w:rFonts w:cs="Arial"/>
                <w:lang w:val="en-US" w:eastAsia="zh-CN"/>
              </w:rPr>
            </w:pPr>
            <w:r>
              <w:rPr>
                <w:rFonts w:cs="Arial"/>
                <w:lang w:eastAsia="zh-CN"/>
              </w:rPr>
              <w:t>≥5.12 (4)</w:t>
            </w:r>
          </w:p>
        </w:tc>
        <w:tc>
          <w:tcPr>
            <w:tcW w:w="1498" w:type="pct"/>
            <w:tcBorders>
              <w:top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2.56 (1)</w:t>
            </w:r>
          </w:p>
        </w:tc>
        <w:tc>
          <w:tcPr>
            <w:tcW w:w="910" w:type="pct"/>
          </w:tcPr>
          <w:p>
            <w:pPr>
              <w:pStyle w:val="52"/>
              <w:rPr>
                <w:rFonts w:cs="Arial"/>
                <w:lang w:val="en-US" w:eastAsia="zh-CN"/>
              </w:rPr>
            </w:pPr>
            <w:r>
              <w:rPr>
                <w:rFonts w:cs="Arial"/>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 The number of DRX cycles in this table corresponds to the DRX cycles within PTWs, when PTW is configured.</w:t>
            </w:r>
          </w:p>
          <w:p>
            <w:pPr>
              <w:pStyle w:val="66"/>
            </w:pPr>
            <w:r>
              <w:t>NOTE 2: The eDRX_IDLE cycle lengths are as specified in Section 10.5.5.32 of TS 24.008 [34].</w:t>
            </w:r>
          </w:p>
          <w:p>
            <w:pPr>
              <w:pStyle w:val="66"/>
            </w:pPr>
            <w:r>
              <w:t>NOTE 3: Number of eDRX cycles when eDRX_IDLE cycle length equals 2.56s, 5.12s and 10.24s. Otherwise, number of DRX cycles.</w:t>
            </w:r>
          </w:p>
          <w:p>
            <w:pPr>
              <w:pStyle w:val="66"/>
              <w:rPr>
                <w:lang w:eastAsia="zh-CN"/>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Pr>
        <w:rPr>
          <w:lang w:eastAsia="zh-CN"/>
        </w:rPr>
      </w:pPr>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188" w:type="pct"/>
          </w:tcPr>
          <w:p>
            <w:pPr>
              <w:pStyle w:val="51"/>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Pr>
          <w:p>
            <w:pPr>
              <w:pStyle w:val="51"/>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Pr>
          <w:p>
            <w:pPr>
              <w:pStyle w:val="51"/>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gridSpan w:val="2"/>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gridSpan w:val="2"/>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8"/>
          </w:tcPr>
          <w:p>
            <w:pPr>
              <w:pStyle w:val="66"/>
              <w:rPr>
                <w:snapToGrid w:val="0"/>
                <w:lang w:eastAsia="zh-CN"/>
              </w:rPr>
            </w:pPr>
            <w:r>
              <w:rPr>
                <w:snapToGrid w:val="0"/>
                <w:lang w:eastAsia="zh-CN"/>
              </w:rPr>
              <w:t>NOTE 1</w:t>
            </w:r>
            <w:r>
              <w:t xml:space="preserve">: 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rFonts w:cs="Arial"/>
              </w:rPr>
            </w:pPr>
            <w:r>
              <w:rPr>
                <w:rFonts w:cs="Arial"/>
              </w:rPr>
              <w:t>NOTE 2: The number of DRX cycles in this table corresponds to the DRX cycles within PTWs</w:t>
            </w:r>
            <w:r>
              <w:t>, when PTW is configured</w:t>
            </w:r>
            <w:r>
              <w:rPr>
                <w:rFonts w:cs="Arial"/>
              </w:rPr>
              <w:t>.</w:t>
            </w:r>
          </w:p>
          <w:p>
            <w:pPr>
              <w:pStyle w:val="66"/>
              <w:rPr>
                <w:rFonts w:cs="Arial"/>
              </w:rPr>
            </w:pPr>
            <w:r>
              <w:rPr>
                <w:rFonts w:cs="Arial"/>
              </w:rPr>
              <w:t>NOTE 3: The eDRX_IDLE cycle lengths are as specified in Section 10.5.5.32 of TS 24.008 [34].</w:t>
            </w:r>
          </w:p>
          <w:p>
            <w:pPr>
              <w:pStyle w:val="66"/>
              <w:rPr>
                <w:rFonts w:cs="Arial"/>
              </w:rPr>
            </w:pPr>
            <w:r>
              <w:rPr>
                <w:rFonts w:cs="Arial"/>
              </w:rPr>
              <w:t>NOTE 4: Number of eDRX cycles when eDRX_IDLE cycle length equals 2.56s, 5.12s and 10.24s. Otherwise, number of DRX cycles.</w:t>
            </w:r>
          </w:p>
          <w:p>
            <w:pPr>
              <w:pStyle w:val="66"/>
              <w:rPr>
                <w:rFonts w:cs="Arial"/>
                <w:iCs/>
                <w:szCs w:val="18"/>
              </w:rPr>
            </w:pPr>
            <w:r>
              <w:rPr>
                <w:rFonts w:cs="Arial"/>
                <w:snapToGrid w:val="0"/>
                <w:szCs w:val="18"/>
                <w:lang w:eastAsia="zh-CN"/>
              </w:rPr>
              <w:t xml:space="preserve">NOTE </w:t>
            </w:r>
            <w:r>
              <w:rPr>
                <w:rFonts w:cs="Arial"/>
                <w:szCs w:val="18"/>
              </w:rPr>
              <w:t>5:</w:t>
            </w:r>
            <w:r>
              <w:rPr>
                <w:rFonts w:cs="Arial"/>
                <w:szCs w:val="18"/>
                <w:lang w:val="en-US"/>
              </w:rPr>
              <w:t xml:space="preserve"> </w:t>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lang w:eastAsia="zh-CN"/>
              </w:rPr>
            </w:pPr>
            <w:r>
              <w:rPr>
                <w:rFonts w:cs="Arial"/>
                <w:iCs/>
              </w:rPr>
              <w:t>NOTE 6: When eDRX=20.48s and DRX=0.32s, UE is allowed to perform cell evaluation within PTW in every 2 eDRX cycles.</w:t>
            </w:r>
          </w:p>
        </w:tc>
      </w:tr>
    </w:tbl>
    <w:p>
      <w:pPr>
        <w:rPr>
          <w:lang w:eastAsia="zh-CN"/>
        </w:rPr>
      </w:pPr>
    </w:p>
    <w:p>
      <w:pPr>
        <w:rPr>
          <w:lang w:eastAsia="zh-CN"/>
        </w:rPr>
      </w:pPr>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
      <w:pPr>
        <w:pStyle w:val="5"/>
        <w:rPr>
          <w:lang w:val="en-US" w:eastAsia="zh-CN"/>
        </w:rPr>
      </w:pPr>
      <w:bookmarkStart w:id="4" w:name="_GoBack"/>
      <w:bookmarkEnd w:id="4"/>
      <w:r>
        <w:rPr>
          <w:lang w:val="en-US" w:eastAsia="zh-CN"/>
        </w:rPr>
        <w:t>4.2.2.5</w:t>
      </w:r>
      <w:r>
        <w:rPr>
          <w:lang w:val="en-US" w:eastAsia="zh-CN"/>
        </w:rPr>
        <w:tab/>
      </w:r>
      <w:r>
        <w:rPr>
          <w:lang w:val="en-US" w:eastAsia="zh-CN"/>
        </w:rPr>
        <w:t>Measurements of inter-RAT E-UTRAN cells</w:t>
      </w:r>
      <w:bookmarkEnd w:id="3"/>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w:t>
      </w:r>
      <w:r>
        <w:rPr>
          <w:i/>
          <w:iCs/>
        </w:rPr>
        <w:t>highSpeedMeasFlag-r16</w:t>
      </w:r>
      <w:r>
        <w:t xml:space="preserve"> is configured and the carrier to be measured is configured with </w:t>
      </w:r>
      <w:r>
        <w:rPr>
          <w:i/>
          <w:iCs/>
        </w:rPr>
        <w:t>highSpeedEUTRACarrier-r16</w:t>
      </w:r>
      <w:r>
        <w:t xml:space="preserve"> and UE supports </w:t>
      </w:r>
      <w:r>
        <w:rPr>
          <w:szCs w:val="22"/>
        </w:rPr>
        <w:t>the enhanced inter-RAT E-UTRAN measurement requirements</w:t>
      </w:r>
      <w:r>
        <w:t>. 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UE is required to meet non high-speed requirements no matter whether </w:t>
      </w:r>
      <w:r>
        <w:rPr>
          <w:i/>
          <w:iCs/>
        </w:rPr>
        <w:t>highSpeedMeasFlag-r16</w:t>
      </w:r>
      <w:r>
        <w:t xml:space="preserve"> or </w:t>
      </w:r>
      <w:r>
        <w:rPr>
          <w:i/>
          <w:iCs/>
        </w:rPr>
        <w:t>highSpeedEUTRACarrier-r16</w:t>
      </w:r>
      <w:r>
        <w:t xml:space="preserve"> is configured or not.</w:t>
      </w:r>
    </w:p>
    <w:p>
      <w:pPr>
        <w:rPr>
          <w:ins w:id="33" w:author="Jingjing Chen_CMCC" w:date="2024-05-13T10:28:01Z"/>
          <w:lang w:eastAsia="zh-CN"/>
        </w:rPr>
      </w:pPr>
      <w:r>
        <w:rPr>
          <w:lang w:eastAsia="zh-CN"/>
        </w:rPr>
        <w:t xml:space="preserve">For a UE configured with </w:t>
      </w:r>
      <w:r>
        <w:rPr>
          <w:i/>
          <w:iCs/>
          <w:lang w:eastAsia="zh-CN"/>
        </w:rPr>
        <w:t>highSpeedMeasFlag-r16</w:t>
      </w:r>
      <w:del w:id="34" w:author="Jingjing Chen_CMCC" w:date="2024-05-13T10:27:55Z">
        <w:r>
          <w:rPr>
            <w:lang w:eastAsia="zh-CN"/>
          </w:rPr>
          <w:delText xml:space="preserve"> or </w:delText>
        </w:r>
      </w:del>
      <w:del w:id="35" w:author="Jingjing Chen_CMCC" w:date="2024-05-13T10:27:55Z">
        <w:r>
          <w:rPr>
            <w:i/>
            <w:iCs/>
            <w:lang w:eastAsia="zh-CN"/>
          </w:rPr>
          <w:delText>highSpeedMeasFlagFR2-r17</w:delText>
        </w:r>
      </w:del>
      <w:r>
        <w:rPr>
          <w:lang w:eastAsia="zh-CN"/>
        </w:rPr>
        <w:t xml:space="preserve">, and configured with relaxed measurement criterion (lowMobilityEvaluation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ins w:id="36" w:author="Jingjing Chen_CMCC" w:date="2024-05-13T10:28:17Z">
        <w:r>
          <w:rPr>
            <w:rFonts w:eastAsia="Malgun Gothic"/>
          </w:rPr>
          <w:t>-</w:t>
        </w:r>
      </w:ins>
      <w:ins w:id="37" w:author="Jingjing Chen_CMCC" w:date="2024-05-13T10:28:17Z">
        <w:r>
          <w:rPr>
            <w:rFonts w:hint="eastAsia" w:eastAsia="宋体"/>
            <w:lang w:val="en-US" w:eastAsia="zh-CN"/>
          </w:rPr>
          <w:t xml:space="preserve"> </w:t>
        </w:r>
      </w:ins>
      <w:ins w:id="38" w:author="Jingjing Chen_CMCC" w:date="2024-05-13T10:28:17Z">
        <w:r>
          <w:rPr>
            <w:rFonts w:eastAsia="Malgun Gothic"/>
          </w:rPr>
          <w:tab/>
        </w:r>
      </w:ins>
      <w:ins w:id="39" w:author="Jingjing Chen_CMCC" w:date="2024-05-13T10:28:17Z">
        <w:r>
          <w:rPr>
            <w:rFonts w:hint="eastAsia" w:cs="v4.2.0"/>
            <w:lang w:val="en-US" w:eastAsia="zh-CN"/>
          </w:rPr>
          <w:t>if</w:t>
        </w:r>
      </w:ins>
      <w:ins w:id="40" w:author="Jingjing Chen_CMCC" w:date="2024-05-13T10:28:17Z">
        <w:r>
          <w:rPr>
            <w:rFonts w:cs="v4.2.0"/>
            <w:lang w:eastAsia="zh-CN"/>
          </w:rPr>
          <w:t xml:space="preserve"> the relaxed measurement criteria in section 4.2.2.9.2 are fulfilled</w:t>
        </w:r>
      </w:ins>
      <w:ins w:id="41" w:author="Jingjing Chen_CMCC" w:date="2024-05-13T10:28:17Z">
        <w:r>
          <w:rPr>
            <w:rFonts w:hint="eastAsia" w:cs="v4.2.0"/>
            <w:lang w:val="en-US" w:eastAsia="zh-CN"/>
          </w:rPr>
          <w:t xml:space="preserve">, </w:t>
        </w:r>
      </w:ins>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del w:id="42" w:author="Jingjing Chen_CMCC" w:date="2024-05-13T10:28:08Z">
        <w:r>
          <w:rPr>
            <w:lang w:eastAsia="zh-CN"/>
          </w:rPr>
          <w:delText xml:space="preserve"> provided that the relaxed measurement criteria in section 4.2.2.</w:delText>
        </w:r>
      </w:del>
      <w:del w:id="43" w:author="Jingjing Chen_CMCC" w:date="2024-05-13T10:28:08Z">
        <w:r>
          <w:rPr>
            <w:rFonts w:hint="eastAsia"/>
            <w:lang w:eastAsia="zh-CN"/>
          </w:rPr>
          <w:delText>11</w:delText>
        </w:r>
      </w:del>
      <w:del w:id="44" w:author="Jingjing Chen_CMCC" w:date="2024-05-13T10:28:08Z">
        <w:r>
          <w:rPr>
            <w:lang w:eastAsia="zh-CN"/>
          </w:rPr>
          <w:delText>.2 are fulfilled.</w:delText>
        </w:r>
      </w:del>
    </w:p>
    <w:p>
      <w:pPr>
        <w:rPr>
          <w:ins w:id="45" w:author="Jingjing Chen_CMCC" w:date="2024-05-13T10:28:09Z"/>
          <w:rFonts w:cs="v4.2.0"/>
        </w:rPr>
      </w:pPr>
      <w:ins w:id="46" w:author="Jingjing Chen_CMCC" w:date="2024-05-13T10:28:24Z">
        <w:r>
          <w:rPr>
            <w:rFonts w:eastAsia="Malgun Gothic"/>
          </w:rPr>
          <w:t>-</w:t>
        </w:r>
      </w:ins>
      <w:ins w:id="47" w:author="Jingjing Chen_CMCC" w:date="2024-05-13T10:28:24Z">
        <w:r>
          <w:rPr>
            <w:rFonts w:hint="eastAsia" w:eastAsia="宋体"/>
            <w:lang w:val="en-US" w:eastAsia="zh-CN"/>
          </w:rPr>
          <w:t xml:space="preserve"> </w:t>
        </w:r>
      </w:ins>
      <w:ins w:id="48" w:author="Jingjing Chen_CMCC" w:date="2024-05-13T10:28:24Z">
        <w:r>
          <w:rPr>
            <w:rFonts w:eastAsia="Malgun Gothic"/>
          </w:rPr>
          <w:tab/>
        </w:r>
      </w:ins>
      <w:ins w:id="49" w:author="Jingjing Chen_CMCC" w:date="2024-05-13T10:28:24Z">
        <w:r>
          <w:rPr>
            <w:rFonts w:hint="eastAsia" w:cs="v4.2.0"/>
            <w:lang w:val="en-US" w:eastAsia="zh-CN"/>
          </w:rPr>
          <w:t>otherwise, h</w:t>
        </w:r>
      </w:ins>
      <w:ins w:id="50" w:author="Jingjing Chen_CMCC" w:date="2024-05-13T10:28:24Z">
        <w:r>
          <w:rPr>
            <w:rFonts w:cs="v4.2.0"/>
            <w:lang w:eastAsia="zh-CN"/>
          </w:rPr>
          <w:t xml:space="preserve">igh speed requirements specified in this clause </w:t>
        </w:r>
      </w:ins>
      <w:ins w:id="51" w:author="Jingjing Chen_CMCC" w:date="2024-05-13T10:28:24Z">
        <w:r>
          <w:rPr>
            <w:rFonts w:hint="eastAsia" w:cs="v4.2.0"/>
            <w:lang w:val="en-US" w:eastAsia="zh-CN"/>
          </w:rPr>
          <w:t>shall be applied</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lang w:eastAsia="zh-CN"/>
        </w:rPr>
      </w:pPr>
      <w:r>
        <w:rPr>
          <w:rFonts w:cs="v4.2.0"/>
        </w:rPr>
        <w:t xml:space="preserve">For a cell that has been already detected, but that has not been reselected to, the filtering shall be such that a UE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val="en-US"/>
              </w:rPr>
              <w:tab/>
            </w:r>
            <w:r>
              <w:rPr>
                <w:lang w:eastAsia="zh-CN"/>
              </w:rPr>
              <w:t xml:space="preserve">When highSpeedMeasFlag-r16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lang w:eastAsia="zh-CN"/>
        </w:rPr>
      </w:pPr>
      <w:r>
        <w:rPr>
          <w:snapToGrid w:val="0"/>
        </w:rPr>
        <w:t xml:space="preserve">Table 4.2.2.5-3: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w:t>
            </w:r>
            <w:r>
              <w:rPr>
                <w:lang w:eastAsia="zh-CN"/>
              </w:rPr>
              <w:t xml:space="preserve"> (</w:t>
            </w:r>
            <w:r>
              <w:rPr>
                <w:rFonts w:cs="Arial"/>
                <w:bCs/>
                <w:iCs/>
                <w:lang w:eastAsia="ja-JP"/>
              </w:rPr>
              <w:t>number of 1.28s periods</w:t>
            </w:r>
            <w:r>
              <w:rPr>
                <w:lang w:eastAsia="zh-CN"/>
              </w:rP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lang w:eastAsia="zh-CN"/>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lang w:eastAsia="zh-CN"/>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lang w:eastAsia="zh-CN"/>
              </w:rPr>
            </w:pPr>
            <w:r>
              <w:rPr>
                <w:lang w:val="en-US" w:eastAsia="zh-CN"/>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lang w:eastAsia="zh-CN"/>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lang w:eastAsia="zh-CN"/>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1</w:t>
            </w:r>
            <w:r>
              <w:rPr>
                <w:lang w:eastAsia="zh-CN"/>
              </w:rPr>
              <w:t>0.24</w:t>
            </w:r>
          </w:p>
        </w:tc>
        <w:tc>
          <w:tcPr>
            <w:tcW w:w="2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lang w:eastAsia="zh-CN"/>
              </w:rPr>
            </w:pPr>
            <w:r>
              <w:rPr>
                <w:lang w:eastAsia="zh-CN"/>
              </w:rP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bottom w:val="nil"/>
            </w:tcBorders>
            <w:vAlign w:val="center"/>
          </w:tcPr>
          <w:p>
            <w:pPr>
              <w:pStyle w:val="52"/>
            </w:pPr>
            <w:r>
              <w:t>20.48 ≤ eDRX_IDLE cycle length ≤</w:t>
            </w:r>
            <w:r>
              <w:rPr>
                <w:lang w:eastAsia="zh-CN"/>
              </w:rPr>
              <w:t>10485.76</w:t>
            </w:r>
          </w:p>
        </w:tc>
        <w:tc>
          <w:tcPr>
            <w:tcW w:w="281" w:type="pct"/>
          </w:tcPr>
          <w:p>
            <w:pPr>
              <w:pStyle w:val="52"/>
              <w:rPr>
                <w:snapToGrid w:val="0"/>
              </w:rPr>
            </w:pPr>
            <w:r>
              <w:t>0.32</w:t>
            </w:r>
          </w:p>
        </w:tc>
        <w:tc>
          <w:tcPr>
            <w:tcW w:w="362" w:type="pct"/>
          </w:tcPr>
          <w:p>
            <w:pPr>
              <w:pStyle w:val="52"/>
            </w:pPr>
            <w:r>
              <w:t>≥1</w:t>
            </w:r>
            <w:r>
              <w:rPr>
                <w:rFonts w:hint="eastAsia"/>
                <w:lang w:eastAsia="zh-CN"/>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8pt;width:230.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lang w:eastAsia="zh-CN"/>
              </w:rPr>
              <w:t>1.</w:t>
            </w:r>
            <w:r>
              <w:rPr>
                <w:lang w:eastAsia="ja-JP"/>
              </w:rPr>
              <w:t>2</w:t>
            </w:r>
            <w:r>
              <w:rPr>
                <w:rFonts w:hint="eastAsia"/>
                <w:lang w:eastAsia="zh-CN"/>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lang w:eastAsia="zh-CN"/>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tcBorders>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lang w:eastAsia="zh-CN"/>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 The number of DRX cycles in this table corresponds to the DRX cycles within PTWs, when PTW is configured.</w:t>
            </w:r>
          </w:p>
          <w:p>
            <w:pPr>
              <w:pStyle w:val="66"/>
            </w:pPr>
            <w:r>
              <w:t>NOTE 2: The eDRX_IDLE cycle lengths are as specified in Section 10.5.5.32 of TS 24.008 [34].</w:t>
            </w:r>
          </w:p>
          <w:p>
            <w:pPr>
              <w:pStyle w:val="66"/>
            </w:pPr>
            <w:r>
              <w:t>NOTE 3: Number of eDRX cycles when eDRX_IDLE cycle length equals 2.56s, 5.12s, or 10.24s; number of DRX cycles otherwise.</w:t>
            </w:r>
          </w:p>
          <w:p>
            <w:pPr>
              <w:pStyle w:val="66"/>
              <w:rPr>
                <w:iCs/>
                <w:szCs w:val="18"/>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NOTE 5: When eDRX=20.48s and DRX=0.32s, UE is allowed to perform cell evaluation within PTW in every 2 eDRX cycles.</w:t>
            </w:r>
          </w:p>
        </w:tc>
      </w:tr>
    </w:tbl>
    <w:p/>
    <w:p>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93B1AB4"/>
    <w:rsid w:val="0B486311"/>
    <w:rsid w:val="15BA32B2"/>
    <w:rsid w:val="1908399E"/>
    <w:rsid w:val="198B64F6"/>
    <w:rsid w:val="1D181F4A"/>
    <w:rsid w:val="1FEC7BFB"/>
    <w:rsid w:val="24E41216"/>
    <w:rsid w:val="28B00F27"/>
    <w:rsid w:val="29B27238"/>
    <w:rsid w:val="2B4C7596"/>
    <w:rsid w:val="2CD74B1F"/>
    <w:rsid w:val="2CEB5D3E"/>
    <w:rsid w:val="2CEE645F"/>
    <w:rsid w:val="2D7B562D"/>
    <w:rsid w:val="2FC33BD3"/>
    <w:rsid w:val="30574426"/>
    <w:rsid w:val="34EA0CDC"/>
    <w:rsid w:val="361231BE"/>
    <w:rsid w:val="37317C9C"/>
    <w:rsid w:val="3A867D14"/>
    <w:rsid w:val="3B666EA9"/>
    <w:rsid w:val="3D55462F"/>
    <w:rsid w:val="3E5203F1"/>
    <w:rsid w:val="3E9F334C"/>
    <w:rsid w:val="467C4AB1"/>
    <w:rsid w:val="48405A16"/>
    <w:rsid w:val="48FE4B50"/>
    <w:rsid w:val="4A9948F1"/>
    <w:rsid w:val="4B4E6299"/>
    <w:rsid w:val="4BEE199F"/>
    <w:rsid w:val="4D817BB7"/>
    <w:rsid w:val="4DDB3749"/>
    <w:rsid w:val="4EA02117"/>
    <w:rsid w:val="5010116A"/>
    <w:rsid w:val="51AF7912"/>
    <w:rsid w:val="53D9371F"/>
    <w:rsid w:val="55C51FC5"/>
    <w:rsid w:val="59AF1605"/>
    <w:rsid w:val="60523013"/>
    <w:rsid w:val="682441E9"/>
    <w:rsid w:val="699A77D5"/>
    <w:rsid w:val="6B3063EA"/>
    <w:rsid w:val="6C12315A"/>
    <w:rsid w:val="6EDD434D"/>
    <w:rsid w:val="72A66887"/>
    <w:rsid w:val="787F5BBC"/>
    <w:rsid w:val="7D40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2024-05-13T08:25:20Z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